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27.png" ContentType="image/png"/>
  <Override PartName="/word/media/image26.png" ContentType="image/png"/>
  <Override PartName="/word/media/image24.jpeg" ContentType="image/jpeg"/>
  <Override PartName="/word/media/image6.jpeg" ContentType="image/jpeg"/>
  <Override PartName="/word/media/image22.jpeg" ContentType="image/jpeg"/>
  <Override PartName="/word/media/image2.jpeg" ContentType="image/jpeg"/>
  <Override PartName="/word/media/image17.jpeg" ContentType="image/jpeg"/>
  <Override PartName="/word/media/image1.jpeg" ContentType="image/jpeg"/>
  <Override PartName="/word/media/image16.jpeg" ContentType="image/jpeg"/>
  <Override PartName="/word/media/image15.jpeg" ContentType="image/jpeg"/>
  <Override PartName="/word/media/image14.jpeg" ContentType="image/jpeg"/>
  <Override PartName="/word/media/image13.jpeg" ContentType="image/jpeg"/>
  <Override PartName="/word/media/image12.jpeg" ContentType="image/jpeg"/>
  <Override PartName="/word/media/image10.jpeg" ContentType="image/jpeg"/>
  <Override PartName="/word/media/image25.jpeg" ContentType="image/jpeg"/>
  <Override PartName="/word/media/image9.jpeg" ContentType="image/jpeg"/>
  <Override PartName="/word/media/image8.png" ContentType="image/png"/>
  <Override PartName="/word/media/image23.jpeg" ContentType="image/jpeg"/>
  <Override PartName="/word/media/image7.jpeg" ContentType="image/jpeg"/>
  <Override PartName="/word/media/image4.png" ContentType="image/png"/>
  <Override PartName="/word/media/image11.jpeg" ContentType="image/jpeg"/>
  <Override PartName="/word/media/image5.jpeg" ContentType="image/jpeg"/>
  <Override PartName="/word/media/image21.jpeg" ContentType="image/jpeg"/>
  <Override PartName="/word/media/image18.jpeg" ContentType="image/jpeg"/>
  <Override PartName="/word/media/image3.jpeg" ContentType="image/jpeg"/>
  <Override PartName="/word/media/image20.jpeg" ContentType="image/jpeg"/>
  <Override PartName="/word/media/image19.jpeg" ContentType="image/jpe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PAINTING-Cugat-List</w:t>
      </w:r>
    </w:p>
    <w:p>
      <w:pPr>
        <w:pStyle w:val="Normal"/>
        <w:rPr/>
      </w:pPr>
      <w:r>
        <w:rPr/>
      </w:r>
    </w:p>
    <w:p>
      <w:pPr>
        <w:pStyle w:val="NormalWeb"/>
        <w:rPr/>
      </w:pPr>
      <w:r>
        <w:rPr/>
      </w:r>
    </w:p>
    <w:p>
      <w:pPr>
        <w:pStyle w:val="Normal"/>
        <w:jc w:val="center"/>
        <w:rPr/>
      </w:pPr>
      <w:r>
        <w:rPr/>
        <w:drawing>
          <wp:inline distT="0" distB="0" distL="0" distR="0">
            <wp:extent cx="5857875" cy="879919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15" t="-10" r="-15" b="-10"/>
                    <a:stretch>
                      <a:fillRect/>
                    </a:stretch>
                  </pic:blipFill>
                  <pic:spPr bwMode="auto">
                    <a:xfrm>
                      <a:off x="0" y="0"/>
                      <a:ext cx="5857875" cy="8799195"/>
                    </a:xfrm>
                    <a:prstGeom prst="rect">
                      <a:avLst/>
                    </a:prstGeom>
                  </pic:spPr>
                </pic:pic>
              </a:graphicData>
            </a:graphic>
          </wp:inline>
        </w:drawing>
      </w:r>
    </w:p>
    <w:p>
      <w:pPr>
        <w:pStyle w:val="Normal"/>
        <w:jc w:val="center"/>
        <w:rPr/>
      </w:pPr>
      <w:r>
        <w:rPr>
          <w:b/>
          <w:bCs/>
          <w:sz w:val="20"/>
          <w:szCs w:val="20"/>
        </w:rPr>
        <w:t xml:space="preserve">1. Francis Cugat’s jacket for </w:t>
      </w:r>
      <w:r>
        <w:rPr>
          <w:b/>
          <w:bCs/>
          <w:i/>
          <w:iCs/>
          <w:sz w:val="20"/>
          <w:szCs w:val="20"/>
        </w:rPr>
        <w:t>The Great Gatsby</w:t>
      </w:r>
      <w:r>
        <w:rPr>
          <w:b/>
          <w:bCs/>
          <w:sz w:val="20"/>
          <w:szCs w:val="20"/>
        </w:rPr>
        <w:t>. New York: Charles Scribner’s Sons, 1925.</w:t>
      </w:r>
    </w:p>
    <w:p>
      <w:pPr>
        <w:pStyle w:val="NormalWeb"/>
        <w:rPr/>
      </w:pPr>
      <w:bookmarkStart w:id="0" w:name="1tx"/>
      <w:bookmarkEnd w:id="0"/>
      <w:r>
        <w:rPr/>
        <w:t xml:space="preserve">Francis Cugat’s painting for F. Scott Fitzgerald’s </w:t>
      </w:r>
      <w:r>
        <w:rPr>
          <w:i/>
          <w:iCs/>
        </w:rPr>
        <w:t>The Great Gatsby</w:t>
      </w:r>
      <w:r>
        <w:rPr/>
        <w:t xml:space="preserve"> is the most celebrated</w:t>
      </w:r>
      <w:r>
        <w:rPr>
          <w:rFonts w:cs="System VT Special;Times New Roman" w:ascii="System VT Special;Times New Roman" w:hAnsi="System VT Special;Times New Roman"/>
        </w:rPr>
        <w:t xml:space="preserve"> </w:t>
      </w:r>
      <w:r>
        <w:rPr/>
        <w:t>and widely disseminated</w:t>
      </w:r>
      <w:r>
        <w:rPr>
          <w:rFonts w:cs="System VT Special;Times New Roman" w:ascii="System VT Special;Times New Roman" w:hAnsi="System VT Special;Times New Roman"/>
        </w:rPr>
        <w:t xml:space="preserve"> </w:t>
      </w:r>
      <w:r>
        <w:rPr/>
        <w:t>jacket art in twentieth-century American literature, and perhaps of all time (fig. 1). After appearing on the first printing in 1925, it was revived more than a half-century later for the “Scribner Library” paperback edition in 1979; more than two decades (and several million copies) later it may be seen in classrooms of virtually every high school and college throughout the country. Like the novel it embellishes, this Art Deco tour-de-force has firmly established itself as a classic. At the same time, it represents a most unusual</w:t>
      </w:r>
      <w:r>
        <w:rPr>
          <w:rFonts w:cs="System VT Special;Times New Roman" w:ascii="System VT Special;Times New Roman" w:hAnsi="System VT Special;Times New Roman"/>
        </w:rPr>
        <w:t xml:space="preserve"> </w:t>
      </w:r>
      <w:r>
        <w:rPr/>
        <w:t>in my view, unique</w:t>
      </w:r>
      <w:r>
        <w:rPr>
          <w:rFonts w:cs="System VT Special;Times New Roman" w:ascii="System VT Special;Times New Roman" w:hAnsi="System VT Special;Times New Roman"/>
        </w:rPr>
        <w:t xml:space="preserve"> </w:t>
      </w:r>
      <w:r>
        <w:rPr/>
        <w:t xml:space="preserve">form of “collaboration” between author and jacket artist. Under normal circumstances, the artist illustrates a scene or motif conceived by the author; he lifts, as it were, his image from a page of the book. In this instance, however, the artist’s image </w:t>
      </w:r>
      <w:r>
        <w:rPr>
          <w:i/>
          <w:iCs/>
        </w:rPr>
        <w:t>preceded</w:t>
      </w:r>
      <w:r>
        <w:rPr/>
        <w:t xml:space="preserve"> the finished manuscript and Fitzgerald actually maintained that he had “written it into” his book.</w:t>
      </w:r>
      <w:r>
        <w:rPr>
          <w:sz w:val="20"/>
          <w:szCs w:val="20"/>
        </w:rPr>
        <w:t xml:space="preserve"> </w:t>
      </w:r>
      <w:r>
        <w:fldChar w:fldCharType="begin"/>
      </w:r>
      <w:r>
        <w:rPr>
          <w:rStyle w:val="InternetLink"/>
          <w:vertAlign w:val="superscript"/>
          <w:sz w:val="20"/>
          <w:szCs w:val="20"/>
        </w:rPr>
        <w:instrText> HYPERLINK "http://www.sc.edu/fitzgerald/essays/eyes/eyes.html" \l "1"</w:instrText>
      </w:r>
      <w:r>
        <w:rPr>
          <w:rStyle w:val="InternetLink"/>
          <w:vertAlign w:val="superscript"/>
          <w:sz w:val="20"/>
          <w:szCs w:val="20"/>
        </w:rPr>
        <w:fldChar w:fldCharType="separate"/>
      </w:r>
      <w:r>
        <w:rPr>
          <w:rStyle w:val="InternetLink"/>
          <w:sz w:val="20"/>
          <w:szCs w:val="20"/>
          <w:vertAlign w:val="superscript"/>
        </w:rPr>
        <w:t>1</w:t>
      </w:r>
      <w:r>
        <w:rPr>
          <w:rStyle w:val="InternetLink"/>
          <w:vertAlign w:val="superscript"/>
          <w:sz w:val="20"/>
          <w:szCs w:val="20"/>
        </w:rPr>
        <w:fldChar w:fldCharType="end"/>
      </w:r>
      <w:r>
        <w:rPr/>
        <w:t xml:space="preserve"> But what precisely did he mean by this claim? </w:t>
      </w:r>
    </w:p>
    <w:p>
      <w:pPr>
        <w:pStyle w:val="NormalWeb"/>
        <w:rPr/>
      </w:pPr>
      <w:r>
        <w:rPr/>
        <w:t>   </w:t>
      </w:r>
      <w:r>
        <w:rPr>
          <w:rFonts w:eastAsia="Times New Roman"/>
        </w:rPr>
        <w:t xml:space="preserve"> </w:t>
      </w:r>
      <w:r>
        <w:rPr/>
        <w:t xml:space="preserve">Cugat’s rendition is not illustrative, but symbolic, even iconic: the sad, hypnotic, heavily outlined eyes of a woman beam like headlights through a cobalt night sky. Their irises are transfigured into reclining female nudes. From one of the eyes streams a green luminescent tear; brightly rouged lips complete the sensual triangle. No nose or other discernable facial contours are introduced in this celestial visage; a few dark streaks across the sky (behind the title) suggest hairlines. Below, on earth, brightly colored carnival lights blaze before a metropolitan skyline. </w:t>
      </w:r>
    </w:p>
    <w:p>
      <w:pPr>
        <w:pStyle w:val="NormalWeb"/>
        <w:rPr/>
      </w:pPr>
      <w:r>
        <w:rPr/>
        <w:t>   </w:t>
      </w:r>
      <w:r>
        <w:rPr>
          <w:rFonts w:eastAsia="Times New Roman"/>
        </w:rPr>
        <w:t xml:space="preserve"> </w:t>
      </w:r>
      <w:r>
        <w:rPr/>
        <w:t>It has been alleged that Fitzgerald’s symbolic billboard eyes of Dr. T. J. Eckleburg derived from Cugat’s jacket. Fitzgerald describes them as “blue and gigantic</w:t>
      </w:r>
      <w:r>
        <w:rPr>
          <w:rFonts w:cs="System VT Special;Times New Roman" w:ascii="System VT Special;Times New Roman" w:hAnsi="System VT Special;Times New Roman"/>
        </w:rPr>
        <w:t xml:space="preserve"> </w:t>
      </w:r>
      <w:r>
        <w:rPr/>
        <w:t xml:space="preserve">their retinas are one yard high. They look out of no face, but, instead, from a pair of enormous yellow spectacles which pass over a nonexistent nose.” If this hypothetical source is valid, then we are clearly not dealing here with a literal translation from graphic imagery into prose: there can be no mistaking of Cugat’s seductive visage for the grotesque, bespectacled eyes of the optician’s billboard. Yet each is, in its own way, both ethereal and mystical; each is explicitly abstracted from a face, in each case with the nose “edited out.” As we would expect from a writer of Fitzgerald’s imagination, he thoroughly transforms his visual sources, or background images, into his own creation: that is to say, one symbol evolves into another. </w:t>
      </w:r>
    </w:p>
    <w:p>
      <w:pPr>
        <w:pStyle w:val="NormalWeb"/>
        <w:rPr/>
      </w:pPr>
      <w:r>
        <w:rPr/>
        <w:t>   </w:t>
      </w:r>
      <w:r>
        <w:rPr>
          <w:rFonts w:eastAsia="Times New Roman"/>
        </w:rPr>
        <w:t xml:space="preserve"> </w:t>
      </w:r>
      <w:bookmarkStart w:id="1" w:name="2tx"/>
      <w:bookmarkEnd w:id="1"/>
      <w:r>
        <w:rPr/>
        <w:t>To those who still find the derivation troublesome, an alternative has recently been proposed for Fitzgerald’s acknowledged debt to Cugat: Nick Carraway’s image of Daisy as the “girl whose disembodied face floated along the dark cornices and blinding signs” of New York at night.</w:t>
      </w:r>
      <w:r>
        <w:rPr>
          <w:sz w:val="20"/>
          <w:szCs w:val="20"/>
        </w:rPr>
        <w:t xml:space="preserve"> </w:t>
      </w:r>
      <w:r>
        <w:fldChar w:fldCharType="begin"/>
      </w:r>
      <w:r>
        <w:rPr>
          <w:rStyle w:val="InternetLink"/>
          <w:vertAlign w:val="superscript"/>
          <w:sz w:val="20"/>
          <w:szCs w:val="20"/>
        </w:rPr>
        <w:instrText> HYPERLINK "http://www.sc.edu/fitzgerald/essays/eyes/eyes.html" \l "2"</w:instrText>
      </w:r>
      <w:r>
        <w:rPr>
          <w:rStyle w:val="InternetLink"/>
          <w:vertAlign w:val="superscript"/>
          <w:sz w:val="20"/>
          <w:szCs w:val="20"/>
        </w:rPr>
        <w:fldChar w:fldCharType="separate"/>
      </w:r>
      <w:r>
        <w:rPr>
          <w:rStyle w:val="InternetLink"/>
          <w:sz w:val="20"/>
          <w:szCs w:val="20"/>
          <w:vertAlign w:val="superscript"/>
        </w:rPr>
        <w:t>2</w:t>
      </w:r>
      <w:r>
        <w:rPr>
          <w:rStyle w:val="InternetLink"/>
          <w:vertAlign w:val="superscript"/>
          <w:sz w:val="20"/>
          <w:szCs w:val="20"/>
        </w:rPr>
        <w:fldChar w:fldCharType="end"/>
      </w:r>
      <w:r>
        <w:rPr/>
        <w:t xml:space="preserve"> This citation at the close of chapter four appears to correspond perfectly with the final jacket. But, at the same time, it raises the question of how far we may reasonably seek interrelations between the jacket art and the text of </w:t>
      </w:r>
      <w:r>
        <w:rPr>
          <w:i/>
          <w:iCs/>
        </w:rPr>
        <w:t>Gatsby</w:t>
      </w:r>
      <w:r>
        <w:rPr/>
        <w:t xml:space="preserve">. In other words, what did Cugat know of the novel before he illuminated its jacket; and what did the novelist know of Cugat’s artwork before he completed his manuscript? Fortunately, Matthew J. Bruccoli’s discovery of Cugat’s preparatory studies and sketches for the design sheds new light on these questions as well as on the creative evolution of his iconographic masterpiece. </w:t>
      </w:r>
    </w:p>
    <w:p>
      <w:pPr>
        <w:pStyle w:val="NormalWeb"/>
        <w:rPr/>
      </w:pPr>
      <w:r>
        <w:rPr/>
        <w:t>   </w:t>
      </w:r>
      <w:r>
        <w:rPr>
          <w:rFonts w:eastAsia="Times New Roman"/>
        </w:rPr>
        <w:t xml:space="preserve"> </w:t>
      </w:r>
      <w:bookmarkStart w:id="2" w:name="3tx"/>
      <w:bookmarkEnd w:id="2"/>
      <w:r>
        <w:rPr/>
        <w:t xml:space="preserve">In the editor-author correspondence between Maxwell Perkins and Fitzgerald there are several references to the </w:t>
      </w:r>
      <w:r>
        <w:rPr>
          <w:i/>
          <w:iCs/>
        </w:rPr>
        <w:t>Gatsby</w:t>
      </w:r>
      <w:r>
        <w:rPr/>
        <w:t xml:space="preserve"> jacket art. These comments are more intriguing than clarifying. The first occurs on April 1, 1924: Perkins asks whether Fitzgerald has finally decided on a title for his new novel-in-progress so that Scribners might proceed to design a “wrap,” or jacket, in anticipation of its publication on Scribners’ fall list. (Fitzgerald’s </w:t>
      </w:r>
      <w:r>
        <w:rPr>
          <w:i/>
          <w:iCs/>
        </w:rPr>
        <w:t>Ledger</w:t>
      </w:r>
      <w:r>
        <w:rPr/>
        <w:t xml:space="preserve"> entry for that month begins “out of woods at last and starting novel.</w:t>
      </w:r>
      <w:r>
        <w:rPr>
          <w:sz w:val="20"/>
          <w:szCs w:val="20"/>
        </w:rPr>
        <w:t xml:space="preserve"> </w:t>
      </w:r>
      <w:r>
        <w:fldChar w:fldCharType="begin"/>
      </w:r>
      <w:r>
        <w:rPr>
          <w:rStyle w:val="InternetLink"/>
          <w:vertAlign w:val="superscript"/>
          <w:sz w:val="20"/>
          <w:szCs w:val="20"/>
        </w:rPr>
        <w:instrText> HYPERLINK "http://www.sc.edu/fitzgerald/essays/eyes/eyes.html" \l "3"</w:instrText>
      </w:r>
      <w:r>
        <w:rPr>
          <w:rStyle w:val="InternetLink"/>
          <w:vertAlign w:val="superscript"/>
          <w:sz w:val="20"/>
          <w:szCs w:val="20"/>
        </w:rPr>
        <w:fldChar w:fldCharType="separate"/>
      </w:r>
      <w:r>
        <w:rPr>
          <w:rStyle w:val="InternetLink"/>
          <w:sz w:val="20"/>
          <w:szCs w:val="20"/>
          <w:vertAlign w:val="superscript"/>
        </w:rPr>
        <w:t>3</w:t>
      </w:r>
      <w:r>
        <w:rPr>
          <w:rStyle w:val="InternetLink"/>
          <w:vertAlign w:val="superscript"/>
          <w:sz w:val="20"/>
          <w:szCs w:val="20"/>
        </w:rPr>
        <w:fldChar w:fldCharType="end"/>
      </w:r>
      <w:r>
        <w:rPr/>
        <w:t xml:space="preserve">) Six days later, Perkins writes that he does not like Fitzgerald’s proposed title “Among the Ash Heaps and Millionaires” although he likes the general idea it seeks to convey: “The weakness is in the words ‘Ash Heaps’ which do not seem to me to be a sufficiently definite and concrete expression of that part of the idea.” This reaction evidently prompts either a phone call or a meeting, and is followed by Fitzgerald’s confessional letter of circa April 10th (“A few words more relative to our conversation this afternoon . . .”) in which he explains that he has “every hope + plan of finishing my novel in June” but that it may take “10 times that long.” In any event, the new novel will be “a consciously artistic achievement + must depend on that as the first books did not.” Perkins replies on the 16th: “The only thing is, that if we had a title which was likely, but by no means sure to be the title, we could prepare a cover and a wrap and hold them in readiness for use. In that way, we would gain several weeks if we should find that we were to have the book this fall. . . .” </w:t>
      </w:r>
    </w:p>
    <w:p>
      <w:pPr>
        <w:pStyle w:val="NormalWeb"/>
        <w:rPr/>
      </w:pPr>
      <w:r>
        <w:rPr/>
        <w:t>   </w:t>
      </w:r>
      <w:r>
        <w:rPr>
          <w:rFonts w:eastAsia="Times New Roman"/>
        </w:rPr>
        <w:t xml:space="preserve"> </w:t>
      </w:r>
      <w:r>
        <w:rPr/>
        <w:t xml:space="preserve">On April 15th, Scott and Zelda decided to move to Europe. There is no further correspondence on the subject of a title or jacket art before they set sail in early May. The next written reference indicates a </w:t>
      </w:r>
      <w:r>
        <w:rPr>
          <w:i/>
          <w:iCs/>
        </w:rPr>
        <w:t>fait accompli</w:t>
      </w:r>
      <w:r>
        <w:rPr/>
        <w:t xml:space="preserve">; it appears in Fitzgerald’s long itemized letter sent from France sometime in August. (Perkins acknowledged it on the 27th, and it took at least ten days for mail to travel by sea from the Villa Marie in St. Raphael to the Scribner offices in New York.) Item one: “The novel will be done next week. That doesn’t mean however that it’ll reach America before October 1st as Zelda and I are contemplating a careful revision after a week’s complete rest.” Item six: “For Christs sake don’t give anyone that jacket you’re saving for me. I’ve written it into the book.” This seemingly straightforward request has provoked much speculation among scholars: what did he mean by “don’t </w:t>
      </w:r>
      <w:r>
        <w:rPr>
          <w:i/>
          <w:iCs/>
        </w:rPr>
        <w:t>give</w:t>
      </w:r>
      <w:r>
        <w:rPr/>
        <w:t xml:space="preserve"> anyone”? That Perkins should keep it secret? But that would nullify the very purpose in commissioning such art in advance, which was</w:t>
      </w:r>
      <w:r>
        <w:rPr>
          <w:rFonts w:cs="System VT Special;Times New Roman" w:ascii="System VT Special;Times New Roman" w:hAnsi="System VT Special;Times New Roman"/>
        </w:rPr>
        <w:t xml:space="preserve"> </w:t>
      </w:r>
      <w:r>
        <w:rPr/>
        <w:t>then as now</w:t>
      </w:r>
      <w:r>
        <w:rPr>
          <w:rFonts w:cs="System VT Special;Times New Roman" w:ascii="System VT Special;Times New Roman" w:hAnsi="System VT Special;Times New Roman"/>
        </w:rPr>
        <w:t xml:space="preserve"> </w:t>
      </w:r>
      <w:r>
        <w:rPr/>
        <w:t xml:space="preserve">to create promotional materials. The answer is simpler, and may be deduced from the context, or sequence, of the correspondence between editor and author. </w:t>
      </w:r>
    </w:p>
    <w:p>
      <w:pPr>
        <w:pStyle w:val="NormalWeb"/>
        <w:rPr/>
      </w:pPr>
      <w:r>
        <w:rPr/>
        <w:t>   </w:t>
      </w:r>
      <w:r>
        <w:rPr>
          <w:rFonts w:eastAsia="Times New Roman"/>
        </w:rPr>
        <w:t xml:space="preserve"> </w:t>
      </w:r>
      <w:r>
        <w:rPr/>
        <w:t>In a letter of July 15th Perkins writes: “I suppose it will be here in a month or six weeks. . . . In any case, your book could not now wisely be published this fall and the spring will be a good season with us because there is no other book of fiction that will have a large sale then. . . .” From these remarks, Fitzgerald must have inferred (correctly) that since his new novel had been taken off the “rush” list for fall 1924 and would not be published for at least another nine months, there was no longer a current need to have jacket art for its advance promotion. Perhaps he feared that Cugat’s artwork might therefore be given to another book</w:t>
      </w:r>
      <w:r>
        <w:rPr>
          <w:rFonts w:cs="System VT Special;Times New Roman" w:ascii="System VT Special;Times New Roman" w:hAnsi="System VT Special;Times New Roman"/>
        </w:rPr>
        <w:t xml:space="preserve"> </w:t>
      </w:r>
      <w:r>
        <w:rPr/>
        <w:t xml:space="preserve">or perhaps even to </w:t>
      </w:r>
      <w:r>
        <w:rPr>
          <w:i/>
          <w:iCs/>
        </w:rPr>
        <w:t>Scribner’s Magazine</w:t>
      </w:r>
      <w:r>
        <w:rPr/>
        <w:t>, for which it would have made a striking poster</w:t>
      </w:r>
      <w:r>
        <w:rPr>
          <w:rFonts w:cs="System VT Special;Times New Roman" w:ascii="System VT Special;Times New Roman" w:hAnsi="System VT Special;Times New Roman"/>
        </w:rPr>
        <w:t xml:space="preserve"> </w:t>
      </w:r>
      <w:r>
        <w:rPr/>
        <w:t xml:space="preserve">rather than being held in abeyance for several more months. Perkins immediately puts this worry to rest in his response of September 10th: “There is certainly not the slightest risk of our giving that jacket to anyone in the world but you. I wish the manuscript of the book would come, and I don’t doubt it is something very like the best American novel.” Two things are clear: that Perkins still had yet to read any of it, and that he would reserve for it the previously designed jacket art. </w:t>
      </w:r>
    </w:p>
    <w:p>
      <w:pPr>
        <w:pStyle w:val="NormalWeb"/>
        <w:rPr/>
      </w:pPr>
      <w:r>
        <w:rPr/>
        <w:t>   </w:t>
      </w:r>
      <w:r>
        <w:rPr>
          <w:rFonts w:eastAsia="Times New Roman"/>
        </w:rPr>
        <w:t xml:space="preserve"> </w:t>
      </w:r>
      <w:r>
        <w:rPr/>
        <w:t xml:space="preserve">On October 27, Fitzgerald writes that he is finally sending </w:t>
      </w:r>
      <w:r>
        <w:rPr>
          <w:i/>
          <w:iCs/>
        </w:rPr>
        <w:t>The Great Gatsby</w:t>
      </w:r>
      <w:r>
        <w:rPr/>
        <w:t xml:space="preserve">. (He offers as an alternate title “Gold-hatted Gatsby.”) He follows up a week or so later with a letter in which he says that he has decided to retain his original title: </w:t>
      </w:r>
    </w:p>
    <w:p>
      <w:pPr>
        <w:pStyle w:val="Normal"/>
        <w:rPr/>
      </w:pPr>
      <w:r>
        <w:rPr>
          <w:i/>
          <w:iCs/>
        </w:rPr>
        <w:t>Trimalchio in West Egg</w:t>
      </w:r>
      <w:r>
        <w:rPr/>
        <w:t xml:space="preserve">. The only other titles that seem to fit it are </w:t>
      </w:r>
      <w:r>
        <w:rPr>
          <w:i/>
          <w:iCs/>
        </w:rPr>
        <w:t>Trimalchio</w:t>
      </w:r>
      <w:r>
        <w:rPr/>
        <w:t xml:space="preserve"> and </w:t>
      </w:r>
      <w:r>
        <w:rPr>
          <w:i/>
          <w:iCs/>
        </w:rPr>
        <w:t>On the Road to West Egg</w:t>
      </w:r>
      <w:r>
        <w:rPr/>
        <w:t xml:space="preserve">. I had two others </w:t>
      </w:r>
      <w:r>
        <w:rPr>
          <w:i/>
          <w:iCs/>
        </w:rPr>
        <w:t>Gold-hatted Gatsby</w:t>
      </w:r>
      <w:r>
        <w:rPr/>
        <w:t xml:space="preserve"> and </w:t>
      </w:r>
      <w:r>
        <w:rPr>
          <w:i/>
          <w:iCs/>
        </w:rPr>
        <w:t>The High-bouncing Lover</w:t>
      </w:r>
      <w:r>
        <w:rPr/>
        <w:t xml:space="preserve"> but they seemed too light. </w:t>
      </w:r>
    </w:p>
    <w:p>
      <w:pPr>
        <w:pStyle w:val="Normal"/>
        <w:rPr/>
      </w:pPr>
      <w:r>
        <w:rPr/>
        <w:t>   </w:t>
      </w:r>
      <w:r>
        <w:rPr>
          <w:rFonts w:eastAsia="Times New Roman"/>
        </w:rPr>
        <w:t xml:space="preserve"> </w:t>
      </w:r>
      <w:r>
        <w:rPr/>
        <w:t>On November 14th Perkins replies that none of his Scribner colleagues likes the “Trimalchio” title, and urges him to change it. Significantly, he adds: “But if you do not change, you will have to leave that note off the wrap. Its presence would injure it too much;</w:t>
      </w:r>
      <w:r>
        <w:rPr>
          <w:rFonts w:cs="System VT Special;Times New Roman" w:ascii="System VT Special;Times New Roman" w:hAnsi="System VT Special;Times New Roman"/>
        </w:rPr>
        <w:t xml:space="preserve"> </w:t>
      </w:r>
      <w:r>
        <w:rPr/>
        <w:t xml:space="preserve">and good as the wrap always seemed, it now seems a masterpiece for this book.” Fitzgerald replies: “About the title. I’ll try my best but I don’t know what I can do. Maybe simply ‘Trimalchio’ or ‘Gatsby.’ In the former case I don’t see why the note shouldn’t go on the back.” Fitzgerald’s typescript no longer exists; but the first set of the proofs is slugged “Trimalchio” at the top of each galley. We can only guess at the length and content of the note explaining Trimalchio’s source in Petronius’s </w:t>
      </w:r>
      <w:r>
        <w:rPr>
          <w:i/>
          <w:iCs/>
        </w:rPr>
        <w:t>Satyricon</w:t>
      </w:r>
      <w:r>
        <w:rPr/>
        <w:t>. That ancient Roman host of extravagantly decadent feasts did indeed offer a worthy prototype for Fitzgerald’s Gatsby</w:t>
      </w:r>
      <w:r>
        <w:rPr>
          <w:rFonts w:cs="System VT Special;Times New Roman" w:ascii="System VT Special;Times New Roman" w:hAnsi="System VT Special;Times New Roman"/>
        </w:rPr>
        <w:t xml:space="preserve"> </w:t>
      </w:r>
      <w:r>
        <w:rPr/>
        <w:t xml:space="preserve">but would readers or booksellers have been able to pronounce it, much less spell it? </w:t>
      </w:r>
    </w:p>
    <w:p>
      <w:pPr>
        <w:pStyle w:val="NormalWeb"/>
        <w:rPr/>
      </w:pPr>
      <w:r>
        <w:rPr/>
        <w:t>   </w:t>
      </w:r>
      <w:r>
        <w:rPr>
          <w:rFonts w:eastAsia="Times New Roman"/>
        </w:rPr>
        <w:t xml:space="preserve"> </w:t>
      </w:r>
      <w:r>
        <w:rPr/>
        <w:t xml:space="preserve">Fitzgerald was never satisfied with the title </w:t>
      </w:r>
      <w:r>
        <w:rPr>
          <w:i/>
          <w:iCs/>
        </w:rPr>
        <w:t>The Great Gatsby</w:t>
      </w:r>
      <w:r>
        <w:rPr/>
        <w:t xml:space="preserve">. Yet when the first copy of the book arrived he wrote to Perkins that he “thought the new jacket was </w:t>
      </w:r>
      <w:r>
        <w:rPr>
          <w:i/>
          <w:iCs/>
        </w:rPr>
        <w:t>great</w:t>
      </w:r>
      <w:r>
        <w:rPr/>
        <w:t>.” No doubt this concise compliment conveyed not only his approval of all its elements</w:t>
      </w:r>
      <w:r>
        <w:rPr>
          <w:rFonts w:cs="System VT Special;Times New Roman" w:ascii="System VT Special;Times New Roman" w:hAnsi="System VT Special;Times New Roman"/>
        </w:rPr>
        <w:t xml:space="preserve"> of </w:t>
      </w:r>
      <w:r>
        <w:rPr/>
        <w:t>illustration, flap copy, typography, and back ad</w:t>
      </w:r>
      <w:r>
        <w:rPr>
          <w:rFonts w:cs="System VT Special;Times New Roman" w:ascii="System VT Special;Times New Roman" w:hAnsi="System VT Special;Times New Roman"/>
        </w:rPr>
        <w:t xml:space="preserve"> </w:t>
      </w:r>
      <w:r>
        <w:rPr/>
        <w:t xml:space="preserve">but also something of an inside joke. To the author, it was “new” in so far as it incorporated for the first time an actual title, from which Fitzgerald quoted the adjective </w:t>
      </w:r>
      <w:r>
        <w:rPr>
          <w:rFonts w:cs="System VT Special;Times New Roman" w:ascii="System VT Special;Times New Roman" w:hAnsi="System VT Special;Times New Roman"/>
        </w:rPr>
        <w:t xml:space="preserve">  </w:t>
      </w:r>
      <w:r>
        <w:rPr/>
        <w:t>perhaps with pointed irony, since he had earlier denigrated to Perkins its titular connection with Jay Gatsby: “</w:t>
      </w:r>
      <w:r>
        <w:rPr>
          <w:i/>
          <w:iCs/>
        </w:rPr>
        <w:t>The Great Gatsby</w:t>
      </w:r>
      <w:r>
        <w:rPr/>
        <w:t xml:space="preserve"> is weak because there’s no emphasis even ironically on his greatness or lack of it. However, let it pass.” </w:t>
      </w:r>
    </w:p>
    <w:p>
      <w:pPr>
        <w:pStyle w:val="Normal"/>
        <w:rPr/>
      </w:pPr>
      <w:r>
        <w:rPr/>
        <w:drawing>
          <wp:inline distT="0" distB="0" distL="0" distR="0">
            <wp:extent cx="6478270" cy="285242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4" t="-11" r="-4" b="-11"/>
                    <a:stretch>
                      <a:fillRect/>
                    </a:stretch>
                  </pic:blipFill>
                  <pic:spPr bwMode="auto">
                    <a:xfrm>
                      <a:off x="0" y="0"/>
                      <a:ext cx="6478270" cy="2852420"/>
                    </a:xfrm>
                    <a:prstGeom prst="rect">
                      <a:avLst/>
                    </a:prstGeom>
                  </pic:spPr>
                </pic:pic>
              </a:graphicData>
            </a:graphic>
          </wp:inline>
        </w:drawing>
      </w:r>
    </w:p>
    <w:p>
      <w:pPr>
        <w:pStyle w:val="Normal"/>
        <w:rPr>
          <w:b/>
          <w:b/>
          <w:bCs/>
        </w:rPr>
      </w:pPr>
      <w:r>
        <w:rPr>
          <w:b/>
          <w:bCs/>
        </w:rPr>
        <w:t>2. Cugat’s preliminary sketch of railroad scene. Charcoal with pen-and-ink, watercolor and gouache on paper.</w:t>
      </w:r>
    </w:p>
    <w:p>
      <w:pPr>
        <w:pStyle w:val="NormalWeb"/>
        <w:rPr/>
      </w:pPr>
      <w:r>
        <w:rPr/>
        <w:t>Was the jacket “new” to Fitzgerald in other ways? The payment card in the Scribner art files confirms that Cugat designed only one jacket, for which he was paid one hundred dollars. If the original jacket painting that Perkins had promised to save for Fitzgerald had in fact been replaced by a new one, there would be some indication of it on the card, as well as the payment of an additional fee to the artist. It is inconceivable that Perkins would have allowed such a substitution without further comment to the author after his written promise and, equally important, after his declaring the original design “a masterpiece.” On the other hand, it is entirely conceivable that Fitzgerald had never seen Cugat’s final, finished artwork, the magnificent gouache painting today preserved in the Princeton University Library (fig. 10). Since there were at most a couple of weeks between the commission and Fitzgerald’s departure for France, it is likely that what he had seen</w:t>
      </w:r>
      <w:r>
        <w:rPr>
          <w:rFonts w:cs="System VT Special;Times New Roman" w:ascii="System VT Special;Times New Roman" w:hAnsi="System VT Special;Times New Roman"/>
        </w:rPr>
        <w:t xml:space="preserve"> </w:t>
      </w:r>
      <w:r>
        <w:rPr/>
        <w:t>and “written into the book”</w:t>
      </w:r>
      <w:r>
        <w:rPr>
          <w:rFonts w:cs="System VT Special;Times New Roman" w:ascii="System VT Special;Times New Roman" w:hAnsi="System VT Special;Times New Roman"/>
        </w:rPr>
        <w:t xml:space="preserve"> </w:t>
      </w:r>
      <w:r>
        <w:rPr/>
        <w:t xml:space="preserve">was one or more of Cugat’s preparatory sketches which were probably shown to him at Scribners for his comments before he set sail. We may now turn to the sketches themselves in search of a plausible scenario. </w:t>
      </w:r>
    </w:p>
    <w:p>
      <w:pPr>
        <w:pStyle w:val="NormalWeb"/>
        <w:rPr/>
      </w:pPr>
      <w:r>
        <w:rPr/>
        <w:t>   </w:t>
      </w:r>
      <w:r>
        <w:rPr>
          <w:rFonts w:eastAsia="Times New Roman"/>
        </w:rPr>
        <w:t xml:space="preserve"> </w:t>
      </w:r>
      <w:r>
        <w:rPr/>
        <w:t xml:space="preserve">In the first (fig. 2), Cugat has rendered in charcoal and pen-and-ink, washed with watercolor and gouache, a scene of a train passing through a deserted depot amidst a bleak, grey landscape with distant hills. Over the green building at the far left a faint, crude image of a face emerges from the dark sky. </w:t>
      </w:r>
    </w:p>
    <w:p>
      <w:pPr>
        <w:pStyle w:val="NormalWeb"/>
        <w:rPr/>
      </w:pPr>
      <w:r>
        <w:rPr/>
        <w:drawing>
          <wp:inline distT="0" distB="0" distL="0" distR="0">
            <wp:extent cx="6941185" cy="2480945"/>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rcRect l="-4" t="-12" r="-4" b="-12"/>
                    <a:stretch>
                      <a:fillRect/>
                    </a:stretch>
                  </pic:blipFill>
                  <pic:spPr bwMode="auto">
                    <a:xfrm>
                      <a:off x="0" y="0"/>
                      <a:ext cx="6941185" cy="2480945"/>
                    </a:xfrm>
                    <a:prstGeom prst="rect">
                      <a:avLst/>
                    </a:prstGeom>
                  </pic:spPr>
                </pic:pic>
              </a:graphicData>
            </a:graphic>
          </wp:inline>
        </w:drawing>
      </w:r>
      <w:r>
        <w:rPr>
          <w:rFonts w:eastAsia="Times New Roman"/>
        </w:rPr>
        <w:t xml:space="preserve"> </w:t>
      </w:r>
    </w:p>
    <w:p>
      <w:pPr>
        <w:pStyle w:val="NormalWeb"/>
        <w:rPr>
          <w:b/>
          <w:b/>
          <w:bCs/>
        </w:rPr>
      </w:pPr>
      <w:r>
        <w:rPr>
          <w:b/>
          <w:bCs/>
        </w:rPr>
        <w:t>3. Second, enlarged version of railroad scene. Charcoal with pen-and-ink,</w:t>
        <w:br/>
        <w:t>watercolor and gouache on paper.</w:t>
      </w:r>
    </w:p>
    <w:p>
      <w:pPr>
        <w:pStyle w:val="NormalWeb"/>
        <w:rPr/>
      </w:pPr>
      <w:r>
        <w:rPr/>
      </w:r>
    </w:p>
    <w:p>
      <w:pPr>
        <w:pStyle w:val="Normal"/>
        <w:rPr/>
      </w:pPr>
      <w:r>
        <w:rPr/>
        <w:t>Cugat proceeded to enlarge this sketch (fig. 3), altering some of the architecture, transforming the central track into an undulating curve, and adding two significant elements that leave no doubt as to the connection between this watercolor and Fitzgerald’s novel-in-progress. The red coal cars are lettered “Long Island Railroad,” and over this ashen scene float, like so many balloons, a series of sad feminine eyes and mouths</w:t>
      </w:r>
      <w:r>
        <w:rPr>
          <w:rFonts w:cs="System VT Special;Times New Roman" w:ascii="System VT Special;Times New Roman" w:hAnsi="System VT Special;Times New Roman"/>
        </w:rPr>
        <w:t xml:space="preserve"> </w:t>
      </w:r>
      <w:r>
        <w:rPr/>
        <w:t xml:space="preserve">all without noses or other physiognomic features. Signed at the bottom right, this sheet clearly represents a </w:t>
      </w:r>
      <w:r>
        <w:rPr>
          <w:i/>
          <w:iCs/>
        </w:rPr>
        <w:t>modello</w:t>
      </w:r>
      <w:r>
        <w:rPr/>
        <w:t xml:space="preserve">, or demonstration piece, for the advance jacket and derives its conception from Fitzgerald’s originally proposed title, “Among the Ash Heaps and Millionaires.” </w:t>
      </w:r>
    </w:p>
    <w:p>
      <w:pPr>
        <w:pStyle w:val="NormalWeb"/>
        <w:rPr/>
      </w:pPr>
      <w:r>
        <w:rPr/>
        <w:t>Cugat probably based this scene on an oral briefing</w:t>
      </w:r>
      <w:r>
        <w:rPr>
          <w:rFonts w:cs="System VT Special;Times New Roman" w:ascii="System VT Special;Times New Roman" w:hAnsi="System VT Special;Times New Roman"/>
        </w:rPr>
        <w:t xml:space="preserve"> </w:t>
      </w:r>
      <w:r>
        <w:rPr/>
        <w:t>either by the art director or by Perkins himself</w:t>
      </w:r>
      <w:r>
        <w:rPr>
          <w:rFonts w:cs="System VT Special;Times New Roman" w:ascii="System VT Special;Times New Roman" w:hAnsi="System VT Special;Times New Roman"/>
        </w:rPr>
        <w:t xml:space="preserve"> </w:t>
      </w:r>
      <w:r>
        <w:rPr/>
        <w:t>that included Fitzgerald’s explanation to Perkins of the “valley of ashes,” as it would eventually appear in chapter two: “About half way between West Egg and New York the motor road hastily joins the railroad and runs beside it for quarter of a mile, so as to shrink away from a certain desolate area of land. . . . ” The fact that in Cugat’s sketch there is no indication of a billboard, much less the bespectacled eyes of Doctor Eckleburg, suggests that Fitzgerald had yet to conceive his optical symbol</w:t>
      </w:r>
      <w:r>
        <w:rPr>
          <w:rFonts w:cs="System VT Special;Times New Roman" w:ascii="System VT Special;Times New Roman" w:hAnsi="System VT Special;Times New Roman"/>
        </w:rPr>
        <w:t xml:space="preserve"> </w:t>
      </w:r>
      <w:r>
        <w:rPr/>
        <w:t>or at least, had yet to share it with either his editor or the artist. We are left then with the enticing possibility that Fitzgerald’s arresting image was originally prompted by Cugat’s fantastic apparitions over the valley of ashes; in other words, that the author derived his inventive metamorphosis from a recurrent theme of Cugat’s trial jackets, one which the artist himself was to reinterpret and transform through subsequent drafts.</w:t>
      </w:r>
      <w:r>
        <mc:AlternateContent>
          <mc:Choice Requires="wps">
            <w:drawing>
              <wp:anchor behindDoc="0" distT="0" distB="0" distL="28575" distR="0" simplePos="0" locked="0" layoutInCell="1" allowOverlap="1" relativeHeight="6">
                <wp:simplePos x="0" y="0"/>
                <wp:positionH relativeFrom="column">
                  <wp:align>right</wp:align>
                </wp:positionH>
                <wp:positionV relativeFrom="paragraph">
                  <wp:align>center</wp:align>
                </wp:positionV>
                <wp:extent cx="69850" cy="360045"/>
                <wp:effectExtent l="0" t="0" r="0" b="0"/>
                <wp:wrapSquare wrapText="bothSides"/>
                <wp:docPr id="4" name="Frame1"/>
                <a:graphic xmlns:a="http://schemas.openxmlformats.org/drawingml/2006/main">
                  <a:graphicData uri="http://schemas.microsoft.com/office/word/2010/wordprocessingShape">
                    <wps:wsp>
                      <wps:cNvSpPr txBox="1"/>
                      <wps:spPr>
                        <a:xfrm>
                          <a:off x="0" y="0"/>
                          <a:ext cx="69850" cy="360045"/>
                        </a:xfrm>
                        <a:prstGeom prst="rect"/>
                        <a:solidFill>
                          <a:srgbClr val="FFFFFF">
                            <a:alpha val="0"/>
                          </a:srgbClr>
                        </a:solidFill>
                      </wps:spPr>
                      <wps:txbx>
                        <w:txbxContent>
                          <w:tbl>
                            <w:tblPr>
                              <w:tblW w:w="110" w:type="dxa"/>
                              <w:jc w:val="start"/>
                              <w:tblInd w:w="0" w:type="dxa"/>
                              <w:tblBorders/>
                              <w:tblCellMar>
                                <w:top w:w="15" w:type="dxa"/>
                                <w:start w:w="15" w:type="dxa"/>
                                <w:bottom w:w="15" w:type="dxa"/>
                                <w:end w:w="15" w:type="dxa"/>
                              </w:tblCellMar>
                            </w:tblPr>
                            <w:tblGrid>
                              <w:gridCol w:w="110"/>
                            </w:tblGrid>
                            <w:tr>
                              <w:trPr/>
                              <w:tc>
                                <w:tcPr>
                                  <w:tcW w:w="110" w:type="dxa"/>
                                  <w:tcBorders/>
                                  <w:shd w:fill="auto" w:val="clear"/>
                                  <w:vAlign w:val="center"/>
                                </w:tcPr>
                                <w:p>
                                  <w:pPr>
                                    <w:pStyle w:val="Normal"/>
                                    <w:snapToGrid w:val="false"/>
                                    <w:rPr/>
                                  </w:pPr>
                                  <w:r>
                                    <w:rPr/>
                                  </w:r>
                                </w:p>
                              </w:tc>
                            </w:tr>
                            <w:tr>
                              <w:trPr/>
                              <w:tc>
                                <w:tcPr>
                                  <w:tcW w:w="110" w:type="dxa"/>
                                  <w:tcBorders/>
                                  <w:shd w:fill="auto" w:val="clear"/>
                                  <w:vAlign w:val="center"/>
                                </w:tcPr>
                                <w:p>
                                  <w:pPr>
                                    <w:pStyle w:val="Normal"/>
                                    <w:snapToGrid w:val="false"/>
                                    <w:jc w:val="center"/>
                                    <w:textAlignment w:val="baseline"/>
                                    <w:rPr>
                                      <w:sz w:val="20"/>
                                      <w:szCs w:val="20"/>
                                    </w:rPr>
                                  </w:pPr>
                                  <w:r>
                                    <w:rPr>
                                      <w:sz w:val="20"/>
                                      <w:szCs w:val="20"/>
                                    </w:rPr>
                                  </w:r>
                                </w:p>
                              </w:tc>
                            </w:tr>
                          </w:tbl>
                        </w:txbxContent>
                      </wps:txbx>
                      <wps:bodyPr anchor="t" lIns="0" tIns="0" rIns="0" bIns="0">
                        <a:noAutofit/>
                      </wps:bodyPr>
                    </wps:wsp>
                  </a:graphicData>
                </a:graphic>
              </wp:anchor>
            </w:drawing>
          </mc:Choice>
          <mc:Fallback>
            <w:pict>
              <v:rect fillcolor="#FFFFFF" style="position:absolute;rotation:0;width:5.5pt;height:28.35pt;mso-wrap-distance-left:2.25pt;mso-wrap-distance-right:0pt;mso-wrap-distance-top:0pt;mso-wrap-distance-bottom:0pt;margin-top:61.85pt;mso-position-vertical:center;mso-position-vertical-relative:text;margin-left:548.9pt;mso-position-horizontal:right;mso-position-horizontal-relative:text">
                <v:fill opacity="0f"/>
                <v:textbox>
                  <w:txbxContent>
                    <w:tbl>
                      <w:tblPr>
                        <w:tblW w:w="110" w:type="dxa"/>
                        <w:jc w:val="start"/>
                        <w:tblInd w:w="0" w:type="dxa"/>
                        <w:tblBorders/>
                        <w:tblCellMar>
                          <w:top w:w="15" w:type="dxa"/>
                          <w:start w:w="15" w:type="dxa"/>
                          <w:bottom w:w="15" w:type="dxa"/>
                          <w:end w:w="15" w:type="dxa"/>
                        </w:tblCellMar>
                      </w:tblPr>
                      <w:tblGrid>
                        <w:gridCol w:w="110"/>
                      </w:tblGrid>
                      <w:tr>
                        <w:trPr/>
                        <w:tc>
                          <w:tcPr>
                            <w:tcW w:w="110" w:type="dxa"/>
                            <w:tcBorders/>
                            <w:shd w:fill="auto" w:val="clear"/>
                            <w:vAlign w:val="center"/>
                          </w:tcPr>
                          <w:p>
                            <w:pPr>
                              <w:pStyle w:val="Normal"/>
                              <w:snapToGrid w:val="false"/>
                              <w:rPr/>
                            </w:pPr>
                            <w:r>
                              <w:rPr/>
                            </w:r>
                          </w:p>
                        </w:tc>
                      </w:tr>
                      <w:tr>
                        <w:trPr/>
                        <w:tc>
                          <w:tcPr>
                            <w:tcW w:w="110" w:type="dxa"/>
                            <w:tcBorders/>
                            <w:shd w:fill="auto" w:val="clear"/>
                            <w:vAlign w:val="center"/>
                          </w:tcPr>
                          <w:p>
                            <w:pPr>
                              <w:pStyle w:val="Normal"/>
                              <w:snapToGrid w:val="false"/>
                              <w:jc w:val="center"/>
                              <w:textAlignment w:val="baseline"/>
                              <w:rPr>
                                <w:sz w:val="20"/>
                                <w:szCs w:val="20"/>
                              </w:rPr>
                            </w:pPr>
                            <w:r>
                              <w:rPr>
                                <w:sz w:val="20"/>
                                <w:szCs w:val="20"/>
                              </w:rPr>
                            </w:r>
                          </w:p>
                        </w:tc>
                      </w:tr>
                    </w:tbl>
                  </w:txbxContent>
                </v:textbox>
                <w10:wrap type="square"/>
              </v:rect>
            </w:pict>
          </mc:Fallback>
        </mc:AlternateContent>
      </w:r>
    </w:p>
    <w:p>
      <w:pPr>
        <w:pStyle w:val="NormalWeb"/>
        <w:rPr/>
      </w:pPr>
      <w:r>
        <w:rPr/>
        <w:t xml:space="preserve">he next stage, a quick pencil and crayon sketch (fig. 4) adapts structural elements (rooflines, poles, automobile) from the “valley of ashes” watercolors, but the geography is unclear. </w:t>
      </w:r>
    </w:p>
    <w:tbl>
      <w:tblPr>
        <w:tblW w:w="12030" w:type="dxa"/>
        <w:jc w:val="start"/>
        <w:tblInd w:w="-45" w:type="dxa"/>
        <w:tblBorders/>
        <w:tblCellMar>
          <w:top w:w="15" w:type="dxa"/>
          <w:start w:w="15" w:type="dxa"/>
          <w:bottom w:w="15" w:type="dxa"/>
          <w:end w:w="15" w:type="dxa"/>
        </w:tblCellMar>
      </w:tblPr>
      <w:tblGrid>
        <w:gridCol w:w="12030"/>
      </w:tblGrid>
      <w:tr>
        <w:trPr/>
        <w:tc>
          <w:tcPr>
            <w:tcW w:w="12030" w:type="dxa"/>
            <w:tcBorders/>
            <w:shd w:fill="auto" w:val="clear"/>
            <w:vAlign w:val="center"/>
          </w:tcPr>
          <w:p>
            <w:pPr>
              <w:pStyle w:val="Normal"/>
              <w:rPr>
                <w:color w:val="0000FF"/>
              </w:rPr>
            </w:pPr>
            <w:r>
              <w:rPr>
                <w:color w:val="0000FF"/>
              </w:rPr>
              <w:drawing>
                <wp:inline distT="0" distB="0" distL="0" distR="0">
                  <wp:extent cx="6861175" cy="4654550"/>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5"/>
                          <a:srcRect l="-6" t="-9" r="-6" b="-9"/>
                          <a:stretch>
                            <a:fillRect/>
                          </a:stretch>
                        </pic:blipFill>
                        <pic:spPr bwMode="auto">
                          <a:xfrm>
                            <a:off x="0" y="0"/>
                            <a:ext cx="6861175" cy="4654550"/>
                          </a:xfrm>
                          <a:prstGeom prst="rect">
                            <a:avLst/>
                          </a:prstGeom>
                        </pic:spPr>
                      </pic:pic>
                    </a:graphicData>
                  </a:graphic>
                </wp:inline>
              </w:drawing>
            </w:r>
          </w:p>
        </w:tc>
      </w:tr>
      <w:tr>
        <w:trPr/>
        <w:tc>
          <w:tcPr>
            <w:tcW w:w="12030" w:type="dxa"/>
            <w:tcBorders/>
            <w:shd w:fill="auto" w:val="clear"/>
            <w:vAlign w:val="center"/>
          </w:tcPr>
          <w:p>
            <w:pPr>
              <w:pStyle w:val="Normal"/>
              <w:jc w:val="center"/>
              <w:textAlignment w:val="baseline"/>
              <w:rPr>
                <w:b/>
                <w:b/>
                <w:bCs/>
              </w:rPr>
            </w:pPr>
            <w:r>
              <w:rPr>
                <w:b/>
                <w:bCs/>
              </w:rPr>
              <w:t>4. Sketch of face over house, with details of weeping eye. Pencil and crayon on paper.</w:t>
            </w:r>
          </w:p>
        </w:tc>
      </w:tr>
    </w:tbl>
    <w:p>
      <w:pPr>
        <w:pStyle w:val="NormalWeb"/>
        <w:jc w:val="center"/>
        <w:rPr/>
      </w:pPr>
      <w:r>
        <w:rPr/>
        <w:drawing>
          <wp:inline distT="0" distB="0" distL="0" distR="0">
            <wp:extent cx="5467350" cy="8353425"/>
            <wp:effectExtent l="0" t="0" r="0" b="0"/>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6"/>
                    <a:srcRect l="-8" t="-5" r="-8" b="-5"/>
                    <a:stretch>
                      <a:fillRect/>
                    </a:stretch>
                  </pic:blipFill>
                  <pic:spPr bwMode="auto">
                    <a:xfrm>
                      <a:off x="0" y="0"/>
                      <a:ext cx="5467350" cy="8353425"/>
                    </a:xfrm>
                    <a:prstGeom prst="rect">
                      <a:avLst/>
                    </a:prstGeom>
                  </pic:spPr>
                </pic:pic>
              </a:graphicData>
            </a:graphic>
          </wp:inline>
        </w:drawing>
      </w:r>
    </w:p>
    <w:p>
      <w:pPr>
        <w:pStyle w:val="NormalWeb"/>
        <w:jc w:val="center"/>
        <w:rPr>
          <w:b/>
          <w:b/>
          <w:bCs/>
        </w:rPr>
      </w:pPr>
      <w:r>
        <w:rPr>
          <w:b/>
          <w:bCs/>
        </w:rPr>
        <w:t>5. Sketch of face over Long Island Sound. Pencil and crayon on paper.</w:t>
      </w:r>
    </w:p>
    <w:p>
      <w:pPr>
        <w:pStyle w:val="NormalWeb"/>
        <w:rPr/>
      </w:pPr>
      <w:r>
        <w:rPr/>
        <w:t>The emphasis has shifted upward to the celestial eyes</w:t>
      </w:r>
      <w:r>
        <w:rPr>
          <w:rFonts w:cs="System VT Special;Times New Roman" w:ascii="System VT Special;Times New Roman" w:hAnsi="System VT Special;Times New Roman"/>
        </w:rPr>
        <w:t xml:space="preserve"> </w:t>
      </w:r>
      <w:r>
        <w:rPr/>
        <w:t>now weeping</w:t>
      </w:r>
      <w:r>
        <w:rPr>
          <w:rFonts w:cs="System VT Special;Times New Roman" w:ascii="System VT Special;Times New Roman" w:hAnsi="System VT Special;Times New Roman"/>
        </w:rPr>
        <w:t xml:space="preserve"> </w:t>
      </w:r>
      <w:r>
        <w:rPr/>
        <w:t xml:space="preserve">with outlined eyebrows, rouged lips, and what appears to be asymmetrical nostrils completing the hovering visage. A second face, or perhaps alternate pose, is sketched at the left and framed by a schematic heart that devolves into a sort of calligraphic kite's tail. </w:t>
      </w:r>
    </w:p>
    <w:p>
      <w:pPr>
        <w:pStyle w:val="NormalWeb"/>
        <w:rPr/>
      </w:pPr>
      <w:r>
        <w:rPr/>
        <w:t>Above, Cugat has drawn an enlarged version of the left eye, from which streams the broken, staccato trail of a tear, and which serves as the starting point for an expansive, purely abstract sweep of a circle breaking into three radiating lines</w:t>
      </w:r>
      <w:r>
        <w:rPr>
          <w:rFonts w:cs="System VT Special;Times New Roman" w:ascii="System VT Special;Times New Roman" w:hAnsi="System VT Special;Times New Roman"/>
        </w:rPr>
        <w:t xml:space="preserve"> </w:t>
      </w:r>
      <w:r>
        <w:rPr/>
        <w:t xml:space="preserve">a variation on motifs already suggested by the cursive improvisations in the sky above the valley of ashes. </w:t>
      </w:r>
      <w:r>
        <mc:AlternateContent>
          <mc:Choice Requires="wps">
            <w:drawing>
              <wp:anchor behindDoc="0" distT="0" distB="0" distL="28575" distR="0" simplePos="0" locked="0" layoutInCell="1" allowOverlap="1" relativeHeight="8">
                <wp:simplePos x="0" y="0"/>
                <wp:positionH relativeFrom="column">
                  <wp:align>right</wp:align>
                </wp:positionH>
                <wp:positionV relativeFrom="paragraph">
                  <wp:align>center</wp:align>
                </wp:positionV>
                <wp:extent cx="69850" cy="360045"/>
                <wp:effectExtent l="0" t="0" r="0" b="0"/>
                <wp:wrapSquare wrapText="bothSides"/>
                <wp:docPr id="7" name="Frame2"/>
                <a:graphic xmlns:a="http://schemas.openxmlformats.org/drawingml/2006/main">
                  <a:graphicData uri="http://schemas.microsoft.com/office/word/2010/wordprocessingShape">
                    <wps:wsp>
                      <wps:cNvSpPr txBox="1"/>
                      <wps:spPr>
                        <a:xfrm>
                          <a:off x="0" y="0"/>
                          <a:ext cx="69850" cy="360045"/>
                        </a:xfrm>
                        <a:prstGeom prst="rect"/>
                        <a:solidFill>
                          <a:srgbClr val="FFFFFF">
                            <a:alpha val="0"/>
                          </a:srgbClr>
                        </a:solidFill>
                      </wps:spPr>
                      <wps:txbx>
                        <w:txbxContent>
                          <w:tbl>
                            <w:tblPr>
                              <w:tblW w:w="110" w:type="dxa"/>
                              <w:jc w:val="start"/>
                              <w:tblInd w:w="0" w:type="dxa"/>
                              <w:tblBorders/>
                              <w:tblCellMar>
                                <w:top w:w="15" w:type="dxa"/>
                                <w:start w:w="15" w:type="dxa"/>
                                <w:bottom w:w="15" w:type="dxa"/>
                                <w:end w:w="15" w:type="dxa"/>
                              </w:tblCellMar>
                            </w:tblPr>
                            <w:tblGrid>
                              <w:gridCol w:w="110"/>
                            </w:tblGrid>
                            <w:tr>
                              <w:trPr/>
                              <w:tc>
                                <w:tcPr>
                                  <w:tcW w:w="110" w:type="dxa"/>
                                  <w:tcBorders/>
                                  <w:shd w:fill="auto" w:val="clear"/>
                                  <w:vAlign w:val="center"/>
                                </w:tcPr>
                                <w:p>
                                  <w:pPr>
                                    <w:pStyle w:val="Normal"/>
                                    <w:snapToGrid w:val="false"/>
                                    <w:rPr/>
                                  </w:pPr>
                                  <w:r>
                                    <w:rPr/>
                                  </w:r>
                                </w:p>
                              </w:tc>
                            </w:tr>
                            <w:tr>
                              <w:trPr/>
                              <w:tc>
                                <w:tcPr>
                                  <w:tcW w:w="110" w:type="dxa"/>
                                  <w:tcBorders/>
                                  <w:shd w:fill="auto" w:val="clear"/>
                                  <w:vAlign w:val="center"/>
                                </w:tcPr>
                                <w:p>
                                  <w:pPr>
                                    <w:pStyle w:val="Normal"/>
                                    <w:snapToGrid w:val="false"/>
                                    <w:jc w:val="center"/>
                                    <w:textAlignment w:val="baseline"/>
                                    <w:rPr>
                                      <w:sz w:val="20"/>
                                      <w:szCs w:val="20"/>
                                    </w:rPr>
                                  </w:pPr>
                                  <w:r>
                                    <w:rPr>
                                      <w:sz w:val="20"/>
                                      <w:szCs w:val="20"/>
                                    </w:rPr>
                                  </w:r>
                                </w:p>
                              </w:tc>
                            </w:tr>
                          </w:tbl>
                        </w:txbxContent>
                      </wps:txbx>
                      <wps:bodyPr anchor="t" lIns="0" tIns="0" rIns="0" bIns="0">
                        <a:noAutofit/>
                      </wps:bodyPr>
                    </wps:wsp>
                  </a:graphicData>
                </a:graphic>
              </wp:anchor>
            </w:drawing>
          </mc:Choice>
          <mc:Fallback>
            <w:pict>
              <v:rect fillcolor="#FFFFFF" style="position:absolute;rotation:0;width:5.5pt;height:28.35pt;mso-wrap-distance-left:2.25pt;mso-wrap-distance-right:0pt;mso-wrap-distance-top:0pt;mso-wrap-distance-bottom:0pt;margin-top:13.45pt;mso-position-vertical:center;mso-position-vertical-relative:text;margin-left:548.9pt;mso-position-horizontal:right;mso-position-horizontal-relative:text">
                <v:fill opacity="0f"/>
                <v:textbox>
                  <w:txbxContent>
                    <w:tbl>
                      <w:tblPr>
                        <w:tblW w:w="110" w:type="dxa"/>
                        <w:jc w:val="start"/>
                        <w:tblInd w:w="0" w:type="dxa"/>
                        <w:tblBorders/>
                        <w:tblCellMar>
                          <w:top w:w="15" w:type="dxa"/>
                          <w:start w:w="15" w:type="dxa"/>
                          <w:bottom w:w="15" w:type="dxa"/>
                          <w:end w:w="15" w:type="dxa"/>
                        </w:tblCellMar>
                      </w:tblPr>
                      <w:tblGrid>
                        <w:gridCol w:w="110"/>
                      </w:tblGrid>
                      <w:tr>
                        <w:trPr/>
                        <w:tc>
                          <w:tcPr>
                            <w:tcW w:w="110" w:type="dxa"/>
                            <w:tcBorders/>
                            <w:shd w:fill="auto" w:val="clear"/>
                            <w:vAlign w:val="center"/>
                          </w:tcPr>
                          <w:p>
                            <w:pPr>
                              <w:pStyle w:val="Normal"/>
                              <w:snapToGrid w:val="false"/>
                              <w:rPr/>
                            </w:pPr>
                            <w:r>
                              <w:rPr/>
                            </w:r>
                          </w:p>
                        </w:tc>
                      </w:tr>
                      <w:tr>
                        <w:trPr/>
                        <w:tc>
                          <w:tcPr>
                            <w:tcW w:w="110" w:type="dxa"/>
                            <w:tcBorders/>
                            <w:shd w:fill="auto" w:val="clear"/>
                            <w:vAlign w:val="center"/>
                          </w:tcPr>
                          <w:p>
                            <w:pPr>
                              <w:pStyle w:val="Normal"/>
                              <w:snapToGrid w:val="false"/>
                              <w:jc w:val="center"/>
                              <w:textAlignment w:val="baseline"/>
                              <w:rPr>
                                <w:sz w:val="20"/>
                                <w:szCs w:val="20"/>
                              </w:rPr>
                            </w:pPr>
                            <w:r>
                              <w:rPr>
                                <w:sz w:val="20"/>
                                <w:szCs w:val="20"/>
                              </w:rPr>
                            </w:r>
                          </w:p>
                        </w:tc>
                      </w:tr>
                    </w:tbl>
                  </w:txbxContent>
                </v:textbox>
                <w10:wrap type="square"/>
              </v:rect>
            </w:pict>
          </mc:Fallback>
        </mc:AlternateContent>
      </w:r>
    </w:p>
    <w:p>
      <w:pPr>
        <w:pStyle w:val="NormalWeb"/>
        <w:rPr/>
      </w:pPr>
      <w:r>
        <w:rPr/>
        <w:t>The focus on a single weeping eye links this rough draft with Cugat’s next, and innovative, conception of the jacket (fig. 5): the pencil and crayon drawing of the female countenance now reduced to one eye with parted red lips and viewed in profile</w:t>
      </w:r>
      <w:r>
        <w:rPr>
          <w:rFonts w:cs="System VT Special;Times New Roman" w:ascii="System VT Special;Times New Roman" w:hAnsi="System VT Special;Times New Roman"/>
        </w:rPr>
        <w:t xml:space="preserve"> </w:t>
      </w:r>
      <w:r>
        <w:rPr/>
        <w:t>as he has noted on the sheet. The schematic tear falls into the Long Island Sound, with the New York skyline (labeled “cityscape”) in the background and five prominent pilings directly below. Cugat’s anatomical license is reminiscent of Egyptian hieroglyphics, if not Picasso. His invention</w:t>
      </w:r>
      <w:r>
        <w:rPr>
          <w:rFonts w:cs="System VT Special;Times New Roman" w:ascii="System VT Special;Times New Roman" w:hAnsi="System VT Special;Times New Roman"/>
        </w:rPr>
        <w:t xml:space="preserve"> </w:t>
      </w:r>
      <w:r>
        <w:rPr/>
        <w:t>a beacon-like and beckoning eye of what Shakespeare called “the constant image” of the beloved</w:t>
      </w:r>
      <w:r>
        <w:rPr>
          <w:rFonts w:cs="System VT Special;Times New Roman" w:ascii="System VT Special;Times New Roman" w:hAnsi="System VT Special;Times New Roman"/>
        </w:rPr>
        <w:t xml:space="preserve"> </w:t>
      </w:r>
      <w:r>
        <w:rPr/>
        <w:t xml:space="preserve">suggests an iconographic prefiguration of that “enchanted object” of Gatsby’s, the green light “of colossal significance” at the end of Daisy’s dock which had seemed as near to her “as the star to the moon.” </w:t>
      </w:r>
    </w:p>
    <w:p>
      <w:pPr>
        <w:pStyle w:val="NormalWeb"/>
        <w:rPr/>
      </w:pPr>
      <w:r>
        <w:rPr/>
        <w:t>   </w:t>
      </w:r>
      <w:r>
        <w:rPr>
          <w:rFonts w:eastAsia="Times New Roman"/>
        </w:rPr>
        <w:t xml:space="preserve"> </w:t>
      </w:r>
      <w:r>
        <w:rPr/>
        <w:t xml:space="preserve">The next and penultimate version is rendered in pencil, crayon, charcoal and gouache (fig. 6). Cugat here returns to his original image of a celestial visage seen straight on. </w:t>
      </w:r>
    </w:p>
    <w:p>
      <w:pPr>
        <w:pStyle w:val="NormalWeb"/>
        <w:jc w:val="center"/>
        <w:rPr/>
      </w:pPr>
      <w:r>
        <w:rPr/>
        <w:drawing>
          <wp:inline distT="0" distB="0" distL="0" distR="0">
            <wp:extent cx="5962650" cy="8239125"/>
            <wp:effectExtent l="0" t="0" r="0" b="0"/>
            <wp:docPr id="8"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title=""/>
                    <pic:cNvPicPr>
                      <a:picLocks noChangeAspect="1" noChangeArrowheads="1"/>
                    </pic:cNvPicPr>
                  </pic:nvPicPr>
                  <pic:blipFill>
                    <a:blip r:embed="rId7"/>
                    <a:srcRect l="-8" t="-5" r="-8" b="-5"/>
                    <a:stretch>
                      <a:fillRect/>
                    </a:stretch>
                  </pic:blipFill>
                  <pic:spPr bwMode="auto">
                    <a:xfrm>
                      <a:off x="0" y="0"/>
                      <a:ext cx="5962650" cy="8239125"/>
                    </a:xfrm>
                    <a:prstGeom prst="rect">
                      <a:avLst/>
                    </a:prstGeom>
                  </pic:spPr>
                </pic:pic>
              </a:graphicData>
            </a:graphic>
          </wp:inline>
        </w:drawing>
      </w:r>
    </w:p>
    <w:p>
      <w:pPr>
        <w:pStyle w:val="NormalWeb"/>
        <w:jc w:val="center"/>
        <w:rPr>
          <w:b/>
          <w:b/>
          <w:bCs/>
        </w:rPr>
      </w:pPr>
      <w:r>
        <w:rPr>
          <w:b/>
          <w:bCs/>
        </w:rPr>
        <w:t>6. Sketch of face over New York skyline. Pencil, crayon, charcoal and gouache on paper.</w:t>
      </w:r>
    </w:p>
    <w:p>
      <w:pPr>
        <w:pStyle w:val="NormalWeb"/>
        <w:rPr/>
      </w:pPr>
      <w:r>
        <w:rPr/>
      </w:r>
      <w:r>
        <mc:AlternateContent>
          <mc:Choice Requires="wps">
            <w:drawing>
              <wp:anchor behindDoc="0" distT="0" distB="0" distL="0" distR="28575" simplePos="0" locked="0" layoutInCell="1" allowOverlap="1" relativeHeight="10">
                <wp:simplePos x="0" y="0"/>
                <wp:positionH relativeFrom="column">
                  <wp:posOffset>-28575</wp:posOffset>
                </wp:positionH>
                <wp:positionV relativeFrom="paragraph">
                  <wp:posOffset>635</wp:posOffset>
                </wp:positionV>
                <wp:extent cx="6124575" cy="194310"/>
                <wp:effectExtent l="0" t="0" r="0" b="0"/>
                <wp:wrapSquare wrapText="bothSides"/>
                <wp:docPr id="9" name="Frame3"/>
                <a:graphic xmlns:a="http://schemas.openxmlformats.org/drawingml/2006/main">
                  <a:graphicData uri="http://schemas.microsoft.com/office/word/2010/wordprocessingShape">
                    <wps:wsp>
                      <wps:cNvSpPr txBox="1"/>
                      <wps:spPr>
                        <a:xfrm>
                          <a:off x="0" y="0"/>
                          <a:ext cx="6124575" cy="194310"/>
                        </a:xfrm>
                        <a:prstGeom prst="rect"/>
                        <a:solidFill>
                          <a:srgbClr val="FFFFFF">
                            <a:alpha val="0"/>
                          </a:srgbClr>
                        </a:solidFill>
                      </wps:spPr>
                      <wps:txbx>
                        <w:txbxContent>
                          <w:tbl>
                            <w:tblPr>
                              <w:tblW w:w="9645" w:type="dxa"/>
                              <w:jc w:val="start"/>
                              <w:tblInd w:w="0" w:type="dxa"/>
                              <w:tblBorders/>
                              <w:tblCellMar>
                                <w:top w:w="15" w:type="dxa"/>
                                <w:start w:w="15" w:type="dxa"/>
                                <w:bottom w:w="15" w:type="dxa"/>
                                <w:end w:w="15" w:type="dxa"/>
                              </w:tblCellMar>
                            </w:tblPr>
                            <w:tblGrid>
                              <w:gridCol w:w="9645"/>
                            </w:tblGrid>
                            <w:tr>
                              <w:trPr/>
                              <w:tc>
                                <w:tcPr>
                                  <w:tcW w:w="9645" w:type="dxa"/>
                                  <w:tcBorders/>
                                  <w:shd w:fill="auto" w:val="clear"/>
                                  <w:vAlign w:val="center"/>
                                </w:tcPr>
                                <w:p>
                                  <w:pPr>
                                    <w:pStyle w:val="Normal"/>
                                    <w:snapToGrid w:val="false"/>
                                    <w:jc w:val="center"/>
                                    <w:textAlignment w:val="baseline"/>
                                    <w:rPr/>
                                  </w:pPr>
                                  <w:r>
                                    <w:rPr/>
                                  </w:r>
                                </w:p>
                              </w:tc>
                            </w:tr>
                          </w:tbl>
                        </w:txbxContent>
                      </wps:txbx>
                      <wps:bodyPr anchor="t" lIns="0" tIns="0" rIns="0" bIns="0">
                        <a:noAutofit/>
                      </wps:bodyPr>
                    </wps:wsp>
                  </a:graphicData>
                </a:graphic>
              </wp:anchor>
            </w:drawing>
          </mc:Choice>
          <mc:Fallback>
            <w:pict>
              <v:rect fillcolor="#FFFFFF" style="position:absolute;rotation:0;width:482.25pt;height:15.3pt;mso-wrap-distance-left:0pt;mso-wrap-distance-right:2.25pt;mso-wrap-distance-top:0pt;mso-wrap-distance-bottom:0pt;margin-top:0pt;mso-position-vertical-relative:text;margin-left:-2.25pt;mso-position-horizontal-relative:text">
                <v:fill opacity="0f"/>
                <v:textbox>
                  <w:txbxContent>
                    <w:tbl>
                      <w:tblPr>
                        <w:tblW w:w="9645" w:type="dxa"/>
                        <w:jc w:val="start"/>
                        <w:tblInd w:w="0" w:type="dxa"/>
                        <w:tblBorders/>
                        <w:tblCellMar>
                          <w:top w:w="15" w:type="dxa"/>
                          <w:start w:w="15" w:type="dxa"/>
                          <w:bottom w:w="15" w:type="dxa"/>
                          <w:end w:w="15" w:type="dxa"/>
                        </w:tblCellMar>
                      </w:tblPr>
                      <w:tblGrid>
                        <w:gridCol w:w="9645"/>
                      </w:tblGrid>
                      <w:tr>
                        <w:trPr/>
                        <w:tc>
                          <w:tcPr>
                            <w:tcW w:w="9645" w:type="dxa"/>
                            <w:tcBorders/>
                            <w:shd w:fill="auto" w:val="clear"/>
                            <w:vAlign w:val="center"/>
                          </w:tcPr>
                          <w:p>
                            <w:pPr>
                              <w:pStyle w:val="Normal"/>
                              <w:snapToGrid w:val="false"/>
                              <w:jc w:val="center"/>
                              <w:textAlignment w:val="baseline"/>
                              <w:rPr/>
                            </w:pPr>
                            <w:r>
                              <w:rPr/>
                            </w:r>
                          </w:p>
                        </w:tc>
                      </w:tr>
                    </w:tbl>
                  </w:txbxContent>
                </v:textbox>
                <w10:wrap type="square"/>
              </v:rect>
            </w:pict>
          </mc:Fallback>
        </mc:AlternateContent>
      </w:r>
    </w:p>
    <w:p>
      <w:pPr>
        <w:pStyle w:val="NormalWeb"/>
        <w:rPr/>
      </w:pPr>
      <w:r>
        <w:rPr/>
        <w:t xml:space="preserve">Two full, bright blue eyes now hover over the expanded cityscape. Their hooded gaze alone expresses their sorrow; the trailing tear is integrated into a pattern of lines that punctuate the urban sky like so many flares or shooting stars. At some point between this sketch and the finished gouache painting (fig. 10) the decision was made to enliven the somber skyline of bricks and mortar by superimposing a dazzling carnival of lights, as though Manhattan had been relegated to a backdrop for riotous Coney Island. The remaining three working sketches (as distinct from </w:t>
      </w:r>
      <w:r>
        <w:rPr>
          <w:i/>
          <w:iCs/>
        </w:rPr>
        <w:t>modelli</w:t>
      </w:r>
      <w:r>
        <w:rPr/>
        <w:t xml:space="preserve">, or display models) offer glimpses into this final transmutation. </w:t>
      </w:r>
      <w:r>
        <mc:AlternateContent>
          <mc:Choice Requires="wps">
            <w:drawing>
              <wp:anchor behindDoc="0" distT="0" distB="0" distL="0" distR="28575" simplePos="0" locked="0" layoutInCell="1" allowOverlap="1" relativeHeight="12">
                <wp:simplePos x="0" y="0"/>
                <wp:positionH relativeFrom="column">
                  <wp:posOffset>-28575</wp:posOffset>
                </wp:positionH>
                <wp:positionV relativeFrom="paragraph">
                  <wp:posOffset>635</wp:posOffset>
                </wp:positionV>
                <wp:extent cx="69850" cy="360045"/>
                <wp:effectExtent l="0" t="0" r="0" b="0"/>
                <wp:wrapSquare wrapText="bothSides"/>
                <wp:docPr id="10" name="Frame4"/>
                <a:graphic xmlns:a="http://schemas.openxmlformats.org/drawingml/2006/main">
                  <a:graphicData uri="http://schemas.microsoft.com/office/word/2010/wordprocessingShape">
                    <wps:wsp>
                      <wps:cNvSpPr txBox="1"/>
                      <wps:spPr>
                        <a:xfrm>
                          <a:off x="0" y="0"/>
                          <a:ext cx="69850" cy="360045"/>
                        </a:xfrm>
                        <a:prstGeom prst="rect"/>
                        <a:solidFill>
                          <a:srgbClr val="FFFFFF">
                            <a:alpha val="0"/>
                          </a:srgbClr>
                        </a:solidFill>
                      </wps:spPr>
                      <wps:txbx>
                        <w:txbxContent>
                          <w:tbl>
                            <w:tblPr>
                              <w:tblW w:w="110" w:type="dxa"/>
                              <w:jc w:val="start"/>
                              <w:tblInd w:w="0" w:type="dxa"/>
                              <w:tblBorders/>
                              <w:tblCellMar>
                                <w:top w:w="15" w:type="dxa"/>
                                <w:start w:w="15" w:type="dxa"/>
                                <w:bottom w:w="15" w:type="dxa"/>
                                <w:end w:w="15" w:type="dxa"/>
                              </w:tblCellMar>
                            </w:tblPr>
                            <w:tblGrid>
                              <w:gridCol w:w="110"/>
                            </w:tblGrid>
                            <w:tr>
                              <w:trPr/>
                              <w:tc>
                                <w:tcPr>
                                  <w:tcW w:w="110" w:type="dxa"/>
                                  <w:tcBorders/>
                                  <w:shd w:fill="auto" w:val="clear"/>
                                  <w:vAlign w:val="center"/>
                                </w:tcPr>
                                <w:p>
                                  <w:pPr>
                                    <w:pStyle w:val="Normal"/>
                                    <w:snapToGrid w:val="false"/>
                                    <w:rPr/>
                                  </w:pPr>
                                  <w:r>
                                    <w:rPr/>
                                  </w:r>
                                </w:p>
                              </w:tc>
                            </w:tr>
                            <w:tr>
                              <w:trPr/>
                              <w:tc>
                                <w:tcPr>
                                  <w:tcW w:w="110" w:type="dxa"/>
                                  <w:tcBorders/>
                                  <w:shd w:fill="auto" w:val="clear"/>
                                  <w:vAlign w:val="center"/>
                                </w:tcPr>
                                <w:p>
                                  <w:pPr>
                                    <w:pStyle w:val="Normal"/>
                                    <w:snapToGrid w:val="false"/>
                                    <w:jc w:val="center"/>
                                    <w:textAlignment w:val="baseline"/>
                                    <w:rPr>
                                      <w:sz w:val="20"/>
                                      <w:szCs w:val="20"/>
                                    </w:rPr>
                                  </w:pPr>
                                  <w:r>
                                    <w:rPr>
                                      <w:sz w:val="20"/>
                                      <w:szCs w:val="20"/>
                                    </w:rPr>
                                  </w:r>
                                </w:p>
                              </w:tc>
                            </w:tr>
                          </w:tbl>
                        </w:txbxContent>
                      </wps:txbx>
                      <wps:bodyPr anchor="t" lIns="0" tIns="0" rIns="0" bIns="0">
                        <a:noAutofit/>
                      </wps:bodyPr>
                    </wps:wsp>
                  </a:graphicData>
                </a:graphic>
              </wp:anchor>
            </w:drawing>
          </mc:Choice>
          <mc:Fallback>
            <w:pict>
              <v:rect fillcolor="#FFFFFF" style="position:absolute;rotation:0;width:5.5pt;height:28.35pt;mso-wrap-distance-left:0pt;mso-wrap-distance-right:2.25pt;mso-wrap-distance-top:0pt;mso-wrap-distance-bottom:0pt;margin-top:0pt;mso-position-vertical-relative:text;margin-left:-2.25pt;mso-position-horizontal-relative:text">
                <v:fill opacity="0f"/>
                <v:textbox>
                  <w:txbxContent>
                    <w:tbl>
                      <w:tblPr>
                        <w:tblW w:w="110" w:type="dxa"/>
                        <w:jc w:val="start"/>
                        <w:tblInd w:w="0" w:type="dxa"/>
                        <w:tblBorders/>
                        <w:tblCellMar>
                          <w:top w:w="15" w:type="dxa"/>
                          <w:start w:w="15" w:type="dxa"/>
                          <w:bottom w:w="15" w:type="dxa"/>
                          <w:end w:w="15" w:type="dxa"/>
                        </w:tblCellMar>
                      </w:tblPr>
                      <w:tblGrid>
                        <w:gridCol w:w="110"/>
                      </w:tblGrid>
                      <w:tr>
                        <w:trPr/>
                        <w:tc>
                          <w:tcPr>
                            <w:tcW w:w="110" w:type="dxa"/>
                            <w:tcBorders/>
                            <w:shd w:fill="auto" w:val="clear"/>
                            <w:vAlign w:val="center"/>
                          </w:tcPr>
                          <w:p>
                            <w:pPr>
                              <w:pStyle w:val="Normal"/>
                              <w:snapToGrid w:val="false"/>
                              <w:rPr/>
                            </w:pPr>
                            <w:r>
                              <w:rPr/>
                            </w:r>
                          </w:p>
                        </w:tc>
                      </w:tr>
                      <w:tr>
                        <w:trPr/>
                        <w:tc>
                          <w:tcPr>
                            <w:tcW w:w="110" w:type="dxa"/>
                            <w:tcBorders/>
                            <w:shd w:fill="auto" w:val="clear"/>
                            <w:vAlign w:val="center"/>
                          </w:tcPr>
                          <w:p>
                            <w:pPr>
                              <w:pStyle w:val="Normal"/>
                              <w:snapToGrid w:val="false"/>
                              <w:jc w:val="center"/>
                              <w:textAlignment w:val="baseline"/>
                              <w:rPr>
                                <w:sz w:val="20"/>
                                <w:szCs w:val="20"/>
                              </w:rPr>
                            </w:pPr>
                            <w:r>
                              <w:rPr>
                                <w:sz w:val="20"/>
                                <w:szCs w:val="20"/>
                              </w:rPr>
                            </w:r>
                          </w:p>
                        </w:tc>
                      </w:tr>
                    </w:tbl>
                  </w:txbxContent>
                </v:textbox>
                <w10:wrap type="square"/>
              </v:rect>
            </w:pict>
          </mc:Fallback>
        </mc:AlternateContent>
      </w:r>
    </w:p>
    <w:tbl>
      <w:tblPr>
        <w:tblW w:w="11087" w:type="dxa"/>
        <w:jc w:val="start"/>
        <w:tblInd w:w="-45" w:type="dxa"/>
        <w:tblBorders/>
        <w:tblCellMar>
          <w:top w:w="15" w:type="dxa"/>
          <w:start w:w="15" w:type="dxa"/>
          <w:bottom w:w="15" w:type="dxa"/>
          <w:end w:w="15" w:type="dxa"/>
        </w:tblCellMar>
      </w:tblPr>
      <w:tblGrid>
        <w:gridCol w:w="11087"/>
      </w:tblGrid>
      <w:tr>
        <w:trPr/>
        <w:tc>
          <w:tcPr>
            <w:tcW w:w="11087" w:type="dxa"/>
            <w:tcBorders/>
            <w:shd w:fill="auto" w:val="clear"/>
            <w:vAlign w:val="center"/>
          </w:tcPr>
          <w:p>
            <w:pPr>
              <w:pStyle w:val="Normal"/>
              <w:rPr/>
            </w:pPr>
            <w:r>
              <w:rPr/>
              <w:drawing>
                <wp:inline distT="0" distB="0" distL="0" distR="0">
                  <wp:extent cx="6982460" cy="4563110"/>
                  <wp:effectExtent l="0" t="0" r="0" b="0"/>
                  <wp:docPr id="11"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title=""/>
                          <pic:cNvPicPr>
                            <a:picLocks noChangeAspect="1" noChangeArrowheads="1"/>
                          </pic:cNvPicPr>
                        </pic:nvPicPr>
                        <pic:blipFill>
                          <a:blip r:embed="rId8"/>
                          <a:srcRect l="-5" t="-8" r="-5" b="-8"/>
                          <a:stretch>
                            <a:fillRect/>
                          </a:stretch>
                        </pic:blipFill>
                        <pic:spPr bwMode="auto">
                          <a:xfrm>
                            <a:off x="0" y="0"/>
                            <a:ext cx="6982460" cy="4563110"/>
                          </a:xfrm>
                          <a:prstGeom prst="rect">
                            <a:avLst/>
                          </a:prstGeom>
                        </pic:spPr>
                      </pic:pic>
                    </a:graphicData>
                  </a:graphic>
                </wp:inline>
              </w:drawing>
            </w:r>
          </w:p>
        </w:tc>
      </w:tr>
      <w:tr>
        <w:trPr/>
        <w:tc>
          <w:tcPr>
            <w:tcW w:w="11087" w:type="dxa"/>
            <w:tcBorders/>
            <w:shd w:fill="auto" w:val="clear"/>
            <w:vAlign w:val="center"/>
          </w:tcPr>
          <w:p>
            <w:pPr>
              <w:pStyle w:val="Normal"/>
              <w:jc w:val="center"/>
              <w:textAlignment w:val="baseline"/>
              <w:rPr>
                <w:b/>
                <w:b/>
                <w:bCs/>
              </w:rPr>
            </w:pPr>
            <w:r>
              <w:rPr>
                <w:b/>
                <w:bCs/>
              </w:rPr>
              <w:t>7. Study of faces over carnival lights. Pencil and watercolor on paper.</w:t>
            </w:r>
          </w:p>
        </w:tc>
      </w:tr>
    </w:tbl>
    <w:p>
      <w:pPr>
        <w:pStyle w:val="NormalWeb"/>
        <w:rPr/>
      </w:pPr>
      <w:r>
        <w:rPr/>
        <w:t>The first is a graphic impromptu or fantasia (fig. 7). Through tentative, faint pencil outlines and quick broad strokes of colored wash Cugat explores the dramatic juxtaposition of the heavenly serene faces, alternatively inclined, and the pyrotechnical explosion of swirling lights below. On a separate sheet, in pencil (fig. 8), he further refined the idealized physiognomy, enlarging the pupils and filling out the sensual lips; below, he improvised in dotted rhythms his basic geometric motifs</w:t>
      </w:r>
      <w:r>
        <w:rPr>
          <w:rFonts w:cs="System VT Special;Times New Roman" w:ascii="System VT Special;Times New Roman" w:hAnsi="System VT Special;Times New Roman"/>
        </w:rPr>
        <w:t xml:space="preserve"> </w:t>
      </w:r>
      <w:r>
        <w:rPr/>
        <w:t xml:space="preserve">the circle, a steep parabola, and cascading arcs. Then, in a murky oil and crayon sketch (fig. 9) he experimented with the background from which his light show was to burst forth. In the center we find again the schematic Ferris wheel which in the final gouache would be suggested by an incomplete series of yellow bursts. </w:t>
      </w:r>
    </w:p>
    <w:p>
      <w:pPr>
        <w:pStyle w:val="NormalWeb"/>
        <w:rPr/>
      </w:pPr>
      <w:r>
        <w:rPr/>
        <w:t>   </w:t>
      </w:r>
      <w:r>
        <w:rPr>
          <w:rFonts w:eastAsia="Times New Roman"/>
        </w:rPr>
        <w:t xml:space="preserve"> </w:t>
      </w:r>
      <w:bookmarkStart w:id="3" w:name="4tx"/>
      <w:bookmarkEnd w:id="3"/>
      <w:r>
        <w:rPr/>
        <w:t xml:space="preserve">Cugat’s carnival imagery is especially intriguing in view of Fitzgerald’s pervasive use of light motifs throughout his novel; specifically, in metaphors for the latter-day Trimalchio, whose parties were illuminated by “enough colored lights to make a Christmas tree of Gatsby’s enormous garden.” Nick sees “the whole corner of the peninsula . . . blazing with light” from Gatsby’s house “lit from tower to cellar.” </w:t>
      </w:r>
    </w:p>
    <w:p>
      <w:pPr>
        <w:pStyle w:val="Normal"/>
        <w:rPr>
          <w:sz w:val="2"/>
        </w:rPr>
      </w:pPr>
      <w:r>
        <w:rPr>
          <w:sz w:val="2"/>
        </w:rPr>
      </w:r>
      <w:r>
        <mc:AlternateContent>
          <mc:Choice Requires="wps">
            <w:drawing>
              <wp:anchor behindDoc="0" distT="0" distB="0" distL="0" distR="28575" simplePos="0" locked="0" layoutInCell="1" allowOverlap="1" relativeHeight="14">
                <wp:simplePos x="0" y="0"/>
                <wp:positionH relativeFrom="column">
                  <wp:posOffset>-28575</wp:posOffset>
                </wp:positionH>
                <wp:positionV relativeFrom="paragraph">
                  <wp:posOffset>635</wp:posOffset>
                </wp:positionV>
                <wp:extent cx="3731895" cy="1644650"/>
                <wp:effectExtent l="0" t="0" r="0" b="0"/>
                <wp:wrapSquare wrapText="bothSides"/>
                <wp:docPr id="12" name="Frame5"/>
                <a:graphic xmlns:a="http://schemas.openxmlformats.org/drawingml/2006/main">
                  <a:graphicData uri="http://schemas.microsoft.com/office/word/2010/wordprocessingShape">
                    <wps:wsp>
                      <wps:cNvSpPr txBox="1"/>
                      <wps:spPr>
                        <a:xfrm>
                          <a:off x="0" y="0"/>
                          <a:ext cx="3731895" cy="1644650"/>
                        </a:xfrm>
                        <a:prstGeom prst="rect"/>
                        <a:solidFill>
                          <a:srgbClr val="FFFFFF">
                            <a:alpha val="0"/>
                          </a:srgbClr>
                        </a:solidFill>
                      </wps:spPr>
                      <wps:txbx>
                        <w:txbxContent>
                          <w:tbl>
                            <w:tblPr>
                              <w:tblW w:w="5877" w:type="dxa"/>
                              <w:jc w:val="start"/>
                              <w:tblInd w:w="0" w:type="dxa"/>
                              <w:tblBorders/>
                              <w:tblCellMar>
                                <w:top w:w="15" w:type="dxa"/>
                                <w:start w:w="15" w:type="dxa"/>
                                <w:bottom w:w="15" w:type="dxa"/>
                                <w:end w:w="15" w:type="dxa"/>
                              </w:tblCellMar>
                            </w:tblPr>
                            <w:tblGrid>
                              <w:gridCol w:w="5877"/>
                            </w:tblGrid>
                            <w:tr>
                              <w:trPr/>
                              <w:tc>
                                <w:tcPr>
                                  <w:tcW w:w="5877" w:type="dxa"/>
                                  <w:tcBorders/>
                                  <w:shd w:fill="auto" w:val="clear"/>
                                  <w:vAlign w:val="center"/>
                                </w:tcPr>
                                <w:p>
                                  <w:pPr>
                                    <w:pStyle w:val="Normal"/>
                                    <w:rPr>
                                      <w:color w:val="0000FF"/>
                                    </w:rPr>
                                  </w:pPr>
                                  <w:r>
                                    <w:rPr>
                                      <w:color w:val="0000FF"/>
                                    </w:rPr>
                                    <w:drawing>
                                      <wp:inline distT="0" distB="0" distL="0" distR="0">
                                        <wp:extent cx="954405" cy="1431290"/>
                                        <wp:effectExtent l="0" t="0" r="0" b="0"/>
                                        <wp:docPr id="13"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title=""/>
                                                <pic:cNvPicPr>
                                                  <a:picLocks noChangeAspect="1" noChangeArrowheads="1"/>
                                                </pic:cNvPicPr>
                                              </pic:nvPicPr>
                                              <pic:blipFill>
                                                <a:blip r:embed="rId9"/>
                                                <a:srcRect l="-9" t="-6" r="-9" b="-6"/>
                                                <a:stretch>
                                                  <a:fillRect/>
                                                </a:stretch>
                                              </pic:blipFill>
                                              <pic:spPr bwMode="auto">
                                                <a:xfrm>
                                                  <a:off x="0" y="0"/>
                                                  <a:ext cx="954405" cy="1431290"/>
                                                </a:xfrm>
                                                <a:prstGeom prst="rect">
                                                  <a:avLst/>
                                                </a:prstGeom>
                                              </pic:spPr>
                                            </pic:pic>
                                          </a:graphicData>
                                        </a:graphic>
                                      </wp:inline>
                                    </w:drawing>
                                  </w:r>
                                </w:p>
                              </w:tc>
                            </w:tr>
                            <w:tr>
                              <w:trPr/>
                              <w:tc>
                                <w:tcPr>
                                  <w:tcW w:w="5877" w:type="dxa"/>
                                  <w:tcBorders/>
                                  <w:shd w:fill="auto" w:val="clear"/>
                                  <w:vAlign w:val="center"/>
                                </w:tcPr>
                                <w:p>
                                  <w:pPr>
                                    <w:pStyle w:val="Normal"/>
                                    <w:jc w:val="center"/>
                                    <w:textAlignment w:val="baseline"/>
                                    <w:rPr>
                                      <w:b/>
                                      <w:b/>
                                      <w:bCs/>
                                    </w:rPr>
                                  </w:pPr>
                                  <w:r>
                                    <w:rPr>
                                      <w:b/>
                                      <w:bCs/>
                                    </w:rPr>
                                    <w:t>8. Study of face and geometric patterns. Pencil on paper.</w:t>
                                  </w:r>
                                </w:p>
                              </w:tc>
                            </w:tr>
                          </w:tbl>
                        </w:txbxContent>
                      </wps:txbx>
                      <wps:bodyPr anchor="t" lIns="0" tIns="0" rIns="0" bIns="0">
                        <a:noAutofit/>
                      </wps:bodyPr>
                    </wps:wsp>
                  </a:graphicData>
                </a:graphic>
              </wp:anchor>
            </w:drawing>
          </mc:Choice>
          <mc:Fallback>
            <w:pict>
              <v:rect fillcolor="#FFFFFF" style="position:absolute;rotation:0;width:293.85pt;height:129.5pt;mso-wrap-distance-left:0pt;mso-wrap-distance-right:2.25pt;mso-wrap-distance-top:0pt;mso-wrap-distance-bottom:0pt;margin-top:0pt;mso-position-vertical-relative:text;margin-left:-2.25pt;mso-position-horizontal-relative:text">
                <v:fill opacity="0f"/>
                <v:textbox>
                  <w:txbxContent>
                    <w:tbl>
                      <w:tblPr>
                        <w:tblW w:w="5877" w:type="dxa"/>
                        <w:jc w:val="start"/>
                        <w:tblInd w:w="0" w:type="dxa"/>
                        <w:tblBorders/>
                        <w:tblCellMar>
                          <w:top w:w="15" w:type="dxa"/>
                          <w:start w:w="15" w:type="dxa"/>
                          <w:bottom w:w="15" w:type="dxa"/>
                          <w:end w:w="15" w:type="dxa"/>
                        </w:tblCellMar>
                      </w:tblPr>
                      <w:tblGrid>
                        <w:gridCol w:w="5877"/>
                      </w:tblGrid>
                      <w:tr>
                        <w:trPr/>
                        <w:tc>
                          <w:tcPr>
                            <w:tcW w:w="5877" w:type="dxa"/>
                            <w:tcBorders/>
                            <w:shd w:fill="auto" w:val="clear"/>
                            <w:vAlign w:val="center"/>
                          </w:tcPr>
                          <w:p>
                            <w:pPr>
                              <w:pStyle w:val="Normal"/>
                              <w:rPr>
                                <w:color w:val="0000FF"/>
                              </w:rPr>
                            </w:pPr>
                            <w:r>
                              <w:rPr>
                                <w:color w:val="0000FF"/>
                              </w:rPr>
                              <w:drawing>
                                <wp:inline distT="0" distB="0" distL="0" distR="0">
                                  <wp:extent cx="954405" cy="1431290"/>
                                  <wp:effectExtent l="0" t="0" r="0" b="0"/>
                                  <wp:docPr id="14"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title=""/>
                                          <pic:cNvPicPr>
                                            <a:picLocks noChangeAspect="1" noChangeArrowheads="1"/>
                                          </pic:cNvPicPr>
                                        </pic:nvPicPr>
                                        <pic:blipFill>
                                          <a:blip r:embed="rId9"/>
                                          <a:srcRect l="-9" t="-6" r="-9" b="-6"/>
                                          <a:stretch>
                                            <a:fillRect/>
                                          </a:stretch>
                                        </pic:blipFill>
                                        <pic:spPr bwMode="auto">
                                          <a:xfrm>
                                            <a:off x="0" y="0"/>
                                            <a:ext cx="954405" cy="1431290"/>
                                          </a:xfrm>
                                          <a:prstGeom prst="rect">
                                            <a:avLst/>
                                          </a:prstGeom>
                                        </pic:spPr>
                                      </pic:pic>
                                    </a:graphicData>
                                  </a:graphic>
                                </wp:inline>
                              </w:drawing>
                            </w:r>
                          </w:p>
                        </w:tc>
                      </w:tr>
                      <w:tr>
                        <w:trPr/>
                        <w:tc>
                          <w:tcPr>
                            <w:tcW w:w="5877" w:type="dxa"/>
                            <w:tcBorders/>
                            <w:shd w:fill="auto" w:val="clear"/>
                            <w:vAlign w:val="center"/>
                          </w:tcPr>
                          <w:p>
                            <w:pPr>
                              <w:pStyle w:val="Normal"/>
                              <w:jc w:val="center"/>
                              <w:textAlignment w:val="baseline"/>
                              <w:rPr>
                                <w:b/>
                                <w:b/>
                                <w:bCs/>
                              </w:rPr>
                            </w:pPr>
                            <w:r>
                              <w:rPr>
                                <w:b/>
                                <w:bCs/>
                              </w:rPr>
                              <w:t>8. Study of face and geometric patterns. Pencil on paper.</w:t>
                            </w:r>
                          </w:p>
                        </w:tc>
                      </w:tr>
                    </w:tbl>
                  </w:txbxContent>
                </v:textbox>
                <w10:wrap type="square"/>
              </v:rect>
            </w:pict>
          </mc:Fallback>
        </mc:AlternateContent>
      </w:r>
    </w:p>
    <w:tbl>
      <w:tblPr>
        <w:tblW w:w="11243" w:type="dxa"/>
        <w:jc w:val="start"/>
        <w:tblInd w:w="-45" w:type="dxa"/>
        <w:tblBorders/>
        <w:tblCellMar>
          <w:top w:w="15" w:type="dxa"/>
          <w:start w:w="15" w:type="dxa"/>
          <w:bottom w:w="15" w:type="dxa"/>
          <w:end w:w="15" w:type="dxa"/>
        </w:tblCellMar>
      </w:tblPr>
      <w:tblGrid>
        <w:gridCol w:w="11243"/>
      </w:tblGrid>
      <w:tr>
        <w:trPr/>
        <w:tc>
          <w:tcPr>
            <w:tcW w:w="11243" w:type="dxa"/>
            <w:tcBorders/>
            <w:shd w:fill="auto" w:val="clear"/>
            <w:vAlign w:val="center"/>
          </w:tcPr>
          <w:p>
            <w:pPr>
              <w:pStyle w:val="Normal"/>
              <w:rPr/>
            </w:pPr>
            <w:r>
              <w:rPr/>
              <w:drawing>
                <wp:inline distT="0" distB="0" distL="0" distR="0">
                  <wp:extent cx="7081520" cy="4282440"/>
                  <wp:effectExtent l="0" t="0" r="0" b="0"/>
                  <wp:docPr id="15"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title=""/>
                          <pic:cNvPicPr>
                            <a:picLocks noChangeAspect="1" noChangeArrowheads="1"/>
                          </pic:cNvPicPr>
                        </pic:nvPicPr>
                        <pic:blipFill>
                          <a:blip r:embed="rId10"/>
                          <a:srcRect l="-5" t="-9" r="-5" b="-9"/>
                          <a:stretch>
                            <a:fillRect/>
                          </a:stretch>
                        </pic:blipFill>
                        <pic:spPr bwMode="auto">
                          <a:xfrm>
                            <a:off x="0" y="0"/>
                            <a:ext cx="7081520" cy="4282440"/>
                          </a:xfrm>
                          <a:prstGeom prst="rect">
                            <a:avLst/>
                          </a:prstGeom>
                        </pic:spPr>
                      </pic:pic>
                    </a:graphicData>
                  </a:graphic>
                </wp:inline>
              </w:drawing>
            </w:r>
          </w:p>
        </w:tc>
      </w:tr>
      <w:tr>
        <w:trPr/>
        <w:tc>
          <w:tcPr>
            <w:tcW w:w="11243" w:type="dxa"/>
            <w:tcBorders/>
            <w:shd w:fill="auto" w:val="clear"/>
            <w:vAlign w:val="center"/>
          </w:tcPr>
          <w:p>
            <w:pPr>
              <w:pStyle w:val="Normal"/>
              <w:jc w:val="center"/>
              <w:textAlignment w:val="baseline"/>
              <w:rPr>
                <w:b/>
                <w:b/>
                <w:bCs/>
              </w:rPr>
            </w:pPr>
            <w:r>
              <w:rPr>
                <w:b/>
                <w:bCs/>
              </w:rPr>
              <w:t>9. Sketch of nocturnal carnival. Crayon over oil on board.</w:t>
            </w:r>
          </w:p>
        </w:tc>
      </w:tr>
    </w:tbl>
    <w:p>
      <w:pPr>
        <w:pStyle w:val="NormalWeb"/>
        <w:rPr/>
      </w:pPr>
      <w:r>
        <w:rPr/>
        <w:t>When he tells Gatsby that his place “looks like the World’s Fair,” Gatsby proposes that they “go to Coney Island.” Fitzgerald had already introduced this amusement-park symbolism in his short story “Absolution.” Written in 1923 as part of an early draft of the novel and published separately in 1924, it was originally intended to serve as the prologue illustrating an important facet of the Midwestern, Catholic youth of the central character who eventually developed into Jay Gatsby. At the conclusion of the story, a deranged priest encourages the guilt-ridden boy to go see an amusement park</w:t>
      </w:r>
      <w:r>
        <w:rPr>
          <w:rFonts w:cs="System VT Special;Times New Roman" w:ascii="System VT Special;Times New Roman" w:hAnsi="System VT Special;Times New Roman"/>
        </w:rPr>
        <w:t xml:space="preserve"> </w:t>
      </w:r>
      <w:r>
        <w:rPr/>
        <w:t>“a thing like a fair only much more glittering” with “a big wheel made of lights turning in the air.” But “don’t get too close,” he cautions, “because if you do you’ll only feel the heat and the sweat and the life.” The evocation of this passage in Cugat’s jacket design suggests that someone had conveyed to the artist the symbolic light motif that defined Gatsby’s life.</w:t>
      </w:r>
      <w:r>
        <w:rPr>
          <w:sz w:val="20"/>
          <w:szCs w:val="20"/>
        </w:rPr>
        <w:t xml:space="preserve"> </w:t>
      </w:r>
      <w:r>
        <w:fldChar w:fldCharType="begin"/>
      </w:r>
      <w:r>
        <w:rPr>
          <w:rStyle w:val="InternetLink"/>
          <w:vertAlign w:val="superscript"/>
          <w:sz w:val="20"/>
          <w:szCs w:val="20"/>
        </w:rPr>
        <w:instrText> HYPERLINK "http://www.sc.edu/fitzgerald/essays/eyes/eyes.html" \l "4"</w:instrText>
      </w:r>
      <w:r>
        <w:rPr>
          <w:rStyle w:val="InternetLink"/>
          <w:vertAlign w:val="superscript"/>
          <w:sz w:val="20"/>
          <w:szCs w:val="20"/>
        </w:rPr>
        <w:fldChar w:fldCharType="separate"/>
      </w:r>
      <w:r>
        <w:rPr>
          <w:rStyle w:val="InternetLink"/>
          <w:sz w:val="20"/>
          <w:szCs w:val="20"/>
          <w:vertAlign w:val="superscript"/>
        </w:rPr>
        <w:t>4</w:t>
      </w:r>
      <w:r>
        <w:rPr>
          <w:rStyle w:val="InternetLink"/>
          <w:vertAlign w:val="superscript"/>
          <w:sz w:val="20"/>
          <w:szCs w:val="20"/>
        </w:rPr>
        <w:fldChar w:fldCharType="end"/>
      </w:r>
      <w:r>
        <w:rPr/>
        <w:t xml:space="preserve"> </w:t>
      </w:r>
    </w:p>
    <w:p>
      <w:pPr>
        <w:pStyle w:val="NormalWeb"/>
        <w:rPr/>
      </w:pPr>
      <w:r>
        <w:rPr/>
        <w:t>   </w:t>
      </w:r>
      <w:r>
        <w:rPr>
          <w:rFonts w:eastAsia="Times New Roman"/>
        </w:rPr>
        <w:t xml:space="preserve"> </w:t>
      </w:r>
      <w:r>
        <w:rPr/>
        <w:t xml:space="preserve">Daisy’s face, says Nick, was “sad and lovely with bright things in it, bright eyes and a bright passionate mouth.” </w:t>
      </w:r>
    </w:p>
    <w:p>
      <w:pPr>
        <w:pStyle w:val="NormalWeb"/>
        <w:rPr/>
      </w:pPr>
      <w:r>
        <w:rPr/>
        <w:t>In Cugat’s final painting, her celestial eyes enclose reclining nudes and her streaming tear is green</w:t>
      </w:r>
      <w:r>
        <w:rPr>
          <w:rFonts w:cs="System VT Special;Times New Roman" w:ascii="System VT Special;Times New Roman" w:hAnsi="System VT Special;Times New Roman"/>
        </w:rPr>
        <w:t xml:space="preserve"> </w:t>
      </w:r>
      <w:r>
        <w:rPr/>
        <w:t xml:space="preserve">like the light “that burns all night” at the end of her dock, reflected in the water of the Sound that separates her from Gatsby. What Fitzgerald in fact drew directly from Cugat’s art and “wrote into” the novel must of course remain an open question. What is beyond doubt is that Perkins hit the mark when, having finally read the completed typescript, he declared the jacket “a masterpiece.” Yet Cugat’s name never appears again in the Scribner art file. He was not a regular contributor to Scribners. Who commissioned him? Nowhere is Cugat ever mentioned by either Fitzgerald or Perkins. The credit must almost certainly go to some anonymous angel in the Scribner art department. </w:t>
      </w:r>
    </w:p>
    <w:p>
      <w:pPr>
        <w:pStyle w:val="NormalWeb"/>
        <w:jc w:val="center"/>
        <w:rPr/>
      </w:pPr>
      <w:r>
        <w:rPr/>
        <w:drawing>
          <wp:inline distT="0" distB="0" distL="0" distR="0">
            <wp:extent cx="6119495" cy="8706485"/>
            <wp:effectExtent l="0" t="0" r="0" b="0"/>
            <wp:docPr id="16"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title=""/>
                    <pic:cNvPicPr>
                      <a:picLocks noChangeAspect="1" noChangeArrowheads="1"/>
                    </pic:cNvPicPr>
                  </pic:nvPicPr>
                  <pic:blipFill>
                    <a:blip r:embed="rId11"/>
                    <a:srcRect l="-8" t="-5" r="-8" b="-5"/>
                    <a:stretch>
                      <a:fillRect/>
                    </a:stretch>
                  </pic:blipFill>
                  <pic:spPr bwMode="auto">
                    <a:xfrm>
                      <a:off x="0" y="0"/>
                      <a:ext cx="6119495" cy="8706485"/>
                    </a:xfrm>
                    <a:prstGeom prst="rect">
                      <a:avLst/>
                    </a:prstGeom>
                  </pic:spPr>
                </pic:pic>
              </a:graphicData>
            </a:graphic>
          </wp:inline>
        </w:drawing>
      </w:r>
    </w:p>
    <w:p>
      <w:pPr>
        <w:pStyle w:val="NormalWeb"/>
        <w:jc w:val="center"/>
        <w:rPr>
          <w:b/>
          <w:b/>
          <w:bCs/>
        </w:rPr>
      </w:pPr>
      <w:r>
        <w:rPr>
          <w:b/>
          <w:bCs/>
        </w:rPr>
        <w:t>10. Cugat’s final jacket painting. Gouache on paper. Princeton University Library.</w:t>
      </w:r>
    </w:p>
    <w:p>
      <w:pPr>
        <w:pStyle w:val="NormalWeb"/>
        <w:rPr/>
      </w:pPr>
      <w:r>
        <w:rPr/>
        <w:t>   </w:t>
      </w:r>
      <w:r>
        <w:rPr>
          <w:rFonts w:eastAsia="Times New Roman"/>
        </w:rPr>
        <w:t xml:space="preserve"> </w:t>
      </w:r>
      <w:bookmarkStart w:id="4" w:name="5tx"/>
      <w:bookmarkEnd w:id="4"/>
      <w:r>
        <w:rPr/>
        <w:t xml:space="preserve">On the art file card, there is a handwritten notation that Cugat’s gouache painting for </w:t>
      </w:r>
      <w:r>
        <w:rPr>
          <w:i/>
          <w:iCs/>
        </w:rPr>
        <w:t>Gatsby</w:t>
      </w:r>
      <w:r>
        <w:rPr/>
        <w:t xml:space="preserve"> (mistakenly described as a watercolor: it does indeed look like one) was given to Fitzgerald on April 2, 1927. If so, he either gave it back to his publisher or left it behind when he returned home to Delaware, where he was struggling to make progress on the new novel that would become </w:t>
      </w:r>
      <w:r>
        <w:rPr>
          <w:i/>
          <w:iCs/>
        </w:rPr>
        <w:t>Tender Is the Night</w:t>
      </w:r>
      <w:r>
        <w:rPr/>
        <w:t>.</w:t>
      </w:r>
      <w:r>
        <w:rPr>
          <w:sz w:val="20"/>
          <w:szCs w:val="20"/>
        </w:rPr>
        <w:t xml:space="preserve"> </w:t>
      </w:r>
      <w:r>
        <w:fldChar w:fldCharType="begin"/>
      </w:r>
      <w:r>
        <w:rPr>
          <w:rStyle w:val="InternetLink"/>
          <w:vertAlign w:val="superscript"/>
          <w:sz w:val="20"/>
          <w:szCs w:val="20"/>
        </w:rPr>
        <w:instrText> HYPERLINK "http://www.sc.edu/fitzgerald/essays/eyes/eyes.html" \l "5"</w:instrText>
      </w:r>
      <w:r>
        <w:rPr>
          <w:rStyle w:val="InternetLink"/>
          <w:vertAlign w:val="superscript"/>
          <w:sz w:val="20"/>
          <w:szCs w:val="20"/>
        </w:rPr>
        <w:fldChar w:fldCharType="separate"/>
      </w:r>
      <w:r>
        <w:rPr>
          <w:rStyle w:val="InternetLink"/>
          <w:sz w:val="20"/>
          <w:szCs w:val="20"/>
          <w:vertAlign w:val="superscript"/>
        </w:rPr>
        <w:t>5</w:t>
      </w:r>
      <w:r>
        <w:rPr>
          <w:rStyle w:val="InternetLink"/>
          <w:vertAlign w:val="superscript"/>
          <w:sz w:val="20"/>
          <w:szCs w:val="20"/>
        </w:rPr>
        <w:fldChar w:fldCharType="end"/>
      </w:r>
      <w:r>
        <w:rPr/>
        <w:t xml:space="preserve"> </w:t>
      </w:r>
    </w:p>
    <w:p>
      <w:pPr>
        <w:pStyle w:val="NormalWeb"/>
        <w:rPr/>
      </w:pPr>
      <w:r>
        <w:rPr/>
        <w:t>   </w:t>
      </w:r>
      <w:r>
        <w:rPr>
          <w:rFonts w:eastAsia="Times New Roman"/>
        </w:rPr>
        <w:t xml:space="preserve"> </w:t>
      </w:r>
      <w:r>
        <w:rPr/>
        <w:t xml:space="preserve">Five days later, on April 7th, Perkins wrote: “I do not want to harass you about your book, which might be bad for it. But if we could by any possibility have the title, and some text, and enough of an idea to make an effective wrap, by the middle of April, we could get out a dummy. And even if all these things had to be changed, it would be worth doing this.” We come full circle. April is not always the cruelest month. Three years earlier, Fitzgerald had planted with Perkins “enough of an idea to make an effective wrap.” And reaped a unique visual harvest. </w:t>
      </w:r>
    </w:p>
    <w:p>
      <w:pPr>
        <w:pStyle w:val="Normal"/>
        <w:rPr/>
      </w:pPr>
      <w:r>
        <w:rPr/>
        <mc:AlternateContent>
          <mc:Choice Requires="wps">
            <w:drawing>
              <wp:inline distT="0" distB="0" distL="0" distR="0">
                <wp:extent cx="7041515" cy="19685"/>
                <wp:effectExtent l="0" t="0" r="0" b="0"/>
                <wp:docPr id="17" name=""/>
                <a:graphic xmlns:a="http://schemas.openxmlformats.org/drawingml/2006/main">
                  <a:graphicData uri="http://schemas.microsoft.com/office/word/2010/wordprocessingShape">
                    <wps:wsp>
                      <wps:cNvSpPr/>
                      <wps:spPr>
                        <a:xfrm>
                          <a:off x="0" y="0"/>
                          <a:ext cx="7040880" cy="19080"/>
                        </a:xfrm>
                        <a:prstGeom prst="rect">
                          <a:avLst/>
                        </a:prstGeom>
                        <a:solidFill>
                          <a:srgbClr val="808080"/>
                        </a:solidFill>
                        <a:ln>
                          <a:noFill/>
                        </a:ln>
                      </wps:spPr>
                      <wps:style>
                        <a:lnRef idx="0"/>
                        <a:fillRef idx="0"/>
                        <a:effectRef idx="0"/>
                        <a:fontRef idx="minor"/>
                      </wps:style>
                      <wps:bodyPr/>
                    </wps:wsp>
                  </a:graphicData>
                </a:graphic>
              </wp:inline>
            </w:drawing>
          </mc:Choice>
          <mc:Fallback>
            <w:pict>
              <v:rect id="shape_0" fillcolor="gray" stroked="f" style="position:absolute;margin-left:0pt;margin-top:-1.55pt;width:554.35pt;height:1.45pt;mso-position-vertical:top">
                <w10:wrap type="none"/>
                <v:fill o:detectmouseclick="t" type="solid" color2="#7f7f7f"/>
                <v:stroke color="#3465a4" joinstyle="round" endcap="flat"/>
              </v:rect>
            </w:pict>
          </mc:Fallback>
        </mc:AlternateContent>
      </w:r>
    </w:p>
    <w:p>
      <w:pPr>
        <w:pStyle w:val="Heading4"/>
        <w:jc w:val="center"/>
        <w:rPr>
          <w:sz w:val="27"/>
          <w:szCs w:val="27"/>
        </w:rPr>
      </w:pPr>
      <w:r>
        <w:rPr>
          <w:sz w:val="27"/>
          <w:szCs w:val="27"/>
        </w:rPr>
        <w:t>Notes</w:t>
      </w:r>
    </w:p>
    <w:p>
      <w:pPr>
        <w:pStyle w:val="Normal"/>
        <w:rPr/>
      </w:pPr>
      <w:r>
        <w:rPr/>
        <w:t> </w:t>
      </w:r>
    </w:p>
    <w:p>
      <w:pPr>
        <w:pStyle w:val="Normal"/>
        <w:numPr>
          <w:ilvl w:val="0"/>
          <w:numId w:val="2"/>
        </w:numPr>
        <w:spacing w:before="0" w:after="0"/>
        <w:rPr/>
      </w:pPr>
      <w:bookmarkStart w:id="5" w:name="1"/>
      <w:bookmarkEnd w:id="5"/>
      <w:r>
        <w:rPr/>
        <w:t xml:space="preserve">The Fitzgerald-Perkins correspondence is preserved in the Charles Scribner’s Sons Archives at the Princeton University Library; most of the letters are published in J. Kuehl and J. R. Bryer, eds., </w:t>
      </w:r>
      <w:r>
        <w:rPr>
          <w:i/>
          <w:iCs/>
        </w:rPr>
        <w:t>Dear Scott/Dear Max</w:t>
      </w:r>
      <w:r>
        <w:rPr/>
        <w:t xml:space="preserve"> (New York: Scribners, 1971). For a complete discussion of the composition and publication of the novel, see Matthew J. Bruccoli, ed., </w:t>
      </w:r>
      <w:r>
        <w:rPr>
          <w:i/>
          <w:iCs/>
        </w:rPr>
        <w:t>The Great Gatsby</w:t>
      </w:r>
      <w:r>
        <w:rPr/>
        <w:t xml:space="preserve"> (London and New York: Cambridge University Press, 1991). For biographical background, see Bruccoli, </w:t>
      </w:r>
      <w:r>
        <w:rPr>
          <w:i/>
          <w:iCs/>
        </w:rPr>
        <w:t xml:space="preserve">Some Sort of Epic Grandeur: The Life of F. Scott Fitzgerald, </w:t>
      </w:r>
      <w:r>
        <w:rPr/>
        <w:t xml:space="preserve">second  revised edition (Columbia, University of South Carolina Press, 2002). </w:t>
      </w:r>
      <w:r>
        <w:fldChar w:fldCharType="begin"/>
      </w:r>
      <w:r>
        <w:rPr>
          <w:rStyle w:val="InternetLink"/>
        </w:rPr>
        <w:instrText> HYPERLINK "http://www.sc.edu/fitzgerald/essays/eyes/eyes.html" \l "1tx"</w:instrText>
      </w:r>
      <w:r>
        <w:rPr>
          <w:rStyle w:val="InternetLink"/>
        </w:rPr>
        <w:fldChar w:fldCharType="separate"/>
      </w:r>
      <w:r>
        <w:rPr>
          <w:rStyle w:val="InternetLink"/>
        </w:rPr>
        <w:t>Return to text.</w:t>
      </w:r>
      <w:r>
        <w:rPr>
          <w:rStyle w:val="InternetLink"/>
        </w:rPr>
        <w:fldChar w:fldCharType="end"/>
      </w:r>
      <w:r>
        <w:rPr/>
        <w:t xml:space="preserve"> </w:t>
      </w:r>
      <w:bookmarkStart w:id="6" w:name="2"/>
      <w:bookmarkEnd w:id="6"/>
    </w:p>
    <w:p>
      <w:pPr>
        <w:pStyle w:val="Normal"/>
        <w:numPr>
          <w:ilvl w:val="0"/>
          <w:numId w:val="2"/>
        </w:numPr>
        <w:spacing w:before="0" w:after="0"/>
        <w:rPr/>
      </w:pPr>
      <w:r>
        <w:rPr/>
        <w:t xml:space="preserve">This observation was made to Professor Bruccoli by his student Mary Jo Tate. </w:t>
      </w:r>
      <w:r>
        <w:fldChar w:fldCharType="begin"/>
      </w:r>
      <w:r>
        <w:rPr>
          <w:rStyle w:val="InternetLink"/>
        </w:rPr>
        <w:instrText> HYPERLINK "http://www.sc.edu/fitzgerald/essays/eyes/eyes.html" \l "2tx"</w:instrText>
      </w:r>
      <w:r>
        <w:rPr>
          <w:rStyle w:val="InternetLink"/>
        </w:rPr>
        <w:fldChar w:fldCharType="separate"/>
      </w:r>
      <w:r>
        <w:rPr>
          <w:rStyle w:val="InternetLink"/>
        </w:rPr>
        <w:t>Return to text.</w:t>
      </w:r>
      <w:r>
        <w:rPr>
          <w:rStyle w:val="InternetLink"/>
        </w:rPr>
        <w:fldChar w:fldCharType="end"/>
      </w:r>
      <w:r>
        <w:rPr/>
        <w:t xml:space="preserve"> </w:t>
      </w:r>
      <w:bookmarkStart w:id="7" w:name="3"/>
      <w:bookmarkEnd w:id="7"/>
    </w:p>
    <w:p>
      <w:pPr>
        <w:pStyle w:val="Normal"/>
        <w:numPr>
          <w:ilvl w:val="0"/>
          <w:numId w:val="2"/>
        </w:numPr>
        <w:spacing w:before="0" w:after="0"/>
        <w:rPr/>
      </w:pPr>
      <w:r>
        <w:rPr/>
        <w:t xml:space="preserve">Bruccoli, ed., </w:t>
      </w:r>
      <w:r>
        <w:rPr>
          <w:i/>
          <w:iCs/>
        </w:rPr>
        <w:t>Scott Fitzgerald’s Ledger</w:t>
      </w:r>
      <w:r>
        <w:rPr/>
        <w:t xml:space="preserve"> (Washington: Bruccoli Clark/NCR Microcard Editions, 1973). </w:t>
      </w:r>
      <w:r>
        <w:fldChar w:fldCharType="begin"/>
      </w:r>
      <w:r>
        <w:rPr>
          <w:rStyle w:val="InternetLink"/>
        </w:rPr>
        <w:instrText> HYPERLINK "http://www.sc.edu/fitzgerald/essays/eyes/eyes.html" \l "3tx"</w:instrText>
      </w:r>
      <w:r>
        <w:rPr>
          <w:rStyle w:val="InternetLink"/>
        </w:rPr>
        <w:fldChar w:fldCharType="separate"/>
      </w:r>
      <w:r>
        <w:rPr>
          <w:rStyle w:val="InternetLink"/>
        </w:rPr>
        <w:t>Return to text.</w:t>
      </w:r>
      <w:r>
        <w:rPr>
          <w:rStyle w:val="InternetLink"/>
        </w:rPr>
        <w:fldChar w:fldCharType="end"/>
      </w:r>
      <w:r>
        <w:rPr/>
        <w:t xml:space="preserve"> </w:t>
      </w:r>
      <w:bookmarkStart w:id="8" w:name="4"/>
      <w:bookmarkEnd w:id="8"/>
    </w:p>
    <w:p>
      <w:pPr>
        <w:pStyle w:val="Normal"/>
        <w:numPr>
          <w:ilvl w:val="0"/>
          <w:numId w:val="2"/>
        </w:numPr>
        <w:spacing w:before="0" w:after="0"/>
        <w:rPr/>
      </w:pPr>
      <w:r>
        <w:rPr/>
        <w:t xml:space="preserve">For an excellent analysis of light imagery and religious metaphors in Fitzgerald’s work, see Joan M. Allen, </w:t>
      </w:r>
      <w:r>
        <w:rPr>
          <w:i/>
          <w:iCs/>
        </w:rPr>
        <w:t>Candles and Carnival Lights: The Catholic Sensibility of F. Scott Fitzgerald</w:t>
      </w:r>
      <w:r>
        <w:rPr/>
        <w:t xml:space="preserve"> (New York: NYU Press, 1978), especially pp. 93-116. </w:t>
      </w:r>
      <w:r>
        <w:fldChar w:fldCharType="begin"/>
      </w:r>
      <w:r>
        <w:rPr>
          <w:rStyle w:val="InternetLink"/>
        </w:rPr>
        <w:instrText> HYPERLINK "http://www.sc.edu/fitzgerald/essays/eyes/eyes.html" \l "4tx"</w:instrText>
      </w:r>
      <w:r>
        <w:rPr>
          <w:rStyle w:val="InternetLink"/>
        </w:rPr>
        <w:fldChar w:fldCharType="separate"/>
      </w:r>
      <w:r>
        <w:rPr>
          <w:rStyle w:val="InternetLink"/>
        </w:rPr>
        <w:t>Return to text.</w:t>
      </w:r>
      <w:r>
        <w:rPr>
          <w:rStyle w:val="InternetLink"/>
        </w:rPr>
        <w:fldChar w:fldCharType="end"/>
      </w:r>
      <w:r>
        <w:rPr/>
        <w:t xml:space="preserve"> </w:t>
      </w:r>
      <w:bookmarkStart w:id="9" w:name="5"/>
      <w:bookmarkEnd w:id="9"/>
    </w:p>
    <w:p>
      <w:pPr>
        <w:pStyle w:val="Normal"/>
        <w:numPr>
          <w:ilvl w:val="0"/>
          <w:numId w:val="2"/>
        </w:numPr>
        <w:spacing w:before="0" w:after="280"/>
        <w:rPr/>
      </w:pPr>
      <w:r>
        <w:rPr/>
        <w:t>Decades later, my cousin George Schieffelin discovered the painting at Scribners in a trash can of publishing “dead matter” and preserved it for posterity. Eventually I inherited the painting, enjoyed it at home for several years, then donated it to Princeton University for its graphic arts collection.</w:t>
      </w:r>
    </w:p>
    <w:p>
      <w:pPr>
        <w:pStyle w:val="Normal"/>
        <w:rPr/>
      </w:pPr>
      <w:r>
        <w:rPr/>
      </w:r>
    </w:p>
    <w:p>
      <w:pPr>
        <w:pStyle w:val="Heading3"/>
        <w:rPr/>
      </w:pPr>
      <w:r>
        <w:rPr/>
        <w:t xml:space="preserve">Celestial Eyes </w:t>
      </w:r>
    </w:p>
    <w:p>
      <w:pPr>
        <w:pStyle w:val="Normal"/>
        <w:jc w:val="center"/>
        <w:rPr>
          <w:color w:val="0000FF"/>
        </w:rPr>
      </w:pPr>
      <w:r>
        <w:rPr>
          <w:color w:val="0000FF"/>
        </w:rPr>
        <w:drawing>
          <wp:inline distT="0" distB="0" distL="0" distR="0">
            <wp:extent cx="5419725" cy="7810500"/>
            <wp:effectExtent l="0" t="0" r="0" b="0"/>
            <wp:docPr id="18"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title=""/>
                    <pic:cNvPicPr>
                      <a:picLocks noChangeAspect="1" noChangeArrowheads="1"/>
                    </pic:cNvPicPr>
                  </pic:nvPicPr>
                  <pic:blipFill>
                    <a:blip r:embed="rId12"/>
                    <a:srcRect l="-8" t="-6" r="-8" b="-6"/>
                    <a:stretch>
                      <a:fillRect/>
                    </a:stretch>
                  </pic:blipFill>
                  <pic:spPr bwMode="auto">
                    <a:xfrm>
                      <a:off x="0" y="0"/>
                      <a:ext cx="5419725" cy="7810500"/>
                    </a:xfrm>
                    <a:prstGeom prst="rect">
                      <a:avLst/>
                    </a:prstGeom>
                  </pic:spPr>
                </pic:pic>
              </a:graphicData>
            </a:graphic>
          </wp:inline>
        </w:drawing>
      </w:r>
    </w:p>
    <w:p>
      <w:pPr>
        <w:pStyle w:val="Normal"/>
        <w:jc w:val="center"/>
        <w:rPr/>
      </w:pPr>
      <w:r>
        <w:rPr/>
      </w:r>
    </w:p>
    <w:p>
      <w:pPr>
        <w:pStyle w:val="Normal"/>
        <w:rPr/>
      </w:pPr>
      <w:r>
        <w:rPr/>
        <w:t xml:space="preserve">The Gatsby cover, as I mentioned in my previous post about the relationship between author and illustrator with regards to this iconic cover; I wanted to find out more about Francis Cugat and his design sketches. Here is an interesting essay </w:t>
      </w:r>
      <w:hyperlink r:id="rId13" w:tgtFrame="_blank">
        <w:r>
          <w:rPr>
            <w:rStyle w:val="InternetLink"/>
          </w:rPr>
          <w:t>(link)</w:t>
        </w:r>
      </w:hyperlink>
      <w:r>
        <w:rPr/>
        <w:t xml:space="preserve"> on discussing Cugat’s preliminary drawings he did, and it argues that the preliminary sketches by the artist of the Long Island Railroad, among the Ash Heaps shows that there is no billboard of  Dr. T. J. Eckleburg. The essay suggests that Fitzgerald was yet to conceive the idea, it states:</w:t>
      </w:r>
    </w:p>
    <w:p>
      <w:pPr>
        <w:pStyle w:val="Normal"/>
        <w:rPr/>
      </w:pPr>
      <w:r>
        <w:rPr/>
        <w:t>“</w:t>
      </w:r>
      <w:r>
        <w:rPr/>
        <w:t>The fact that in Cugat’s sketch there is no indication of a billboard, much less the bespectacled eyes of Doctor Eckleburg, suggests that Fitzgerald had yet to conceive his optical symbolòor at least, had yet to share it with either his editor or the artist. We are left then with the enticing possibility that Fitzgerald’s arresting image was originally prompted by Cugat’s fantastic apparitions over the valley of ashes; in other words, that the author derived his inventive metamorphosis from a recurrent theme of Cugat’s trial jackets, one which the artist himself was to reinterpret and transform through subsequent drafts.” </w:t>
      </w:r>
    </w:p>
    <w:p>
      <w:pPr>
        <w:pStyle w:val="Normal"/>
        <w:jc w:val="center"/>
        <w:rPr>
          <w:color w:val="0000FF"/>
        </w:rPr>
      </w:pPr>
      <w:r>
        <w:rPr>
          <w:color w:val="0000FF"/>
        </w:rPr>
        <w:drawing>
          <wp:inline distT="0" distB="0" distL="0" distR="0">
            <wp:extent cx="5419725" cy="1895475"/>
            <wp:effectExtent l="0" t="0" r="0" b="0"/>
            <wp:docPr id="19"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descr="" title=""/>
                    <pic:cNvPicPr>
                      <a:picLocks noChangeAspect="1" noChangeArrowheads="1"/>
                    </pic:cNvPicPr>
                  </pic:nvPicPr>
                  <pic:blipFill>
                    <a:blip r:embed="rId14"/>
                    <a:srcRect l="-8" t="-25" r="-8" b="-25"/>
                    <a:stretch>
                      <a:fillRect/>
                    </a:stretch>
                  </pic:blipFill>
                  <pic:spPr bwMode="auto">
                    <a:xfrm>
                      <a:off x="0" y="0"/>
                      <a:ext cx="5419725" cy="1895475"/>
                    </a:xfrm>
                    <a:prstGeom prst="rect">
                      <a:avLst/>
                    </a:prstGeom>
                  </pic:spPr>
                </pic:pic>
              </a:graphicData>
            </a:graphic>
          </wp:inline>
        </w:drawing>
      </w:r>
    </w:p>
    <w:p>
      <w:pPr>
        <w:pStyle w:val="Normal"/>
        <w:spacing w:before="0" w:after="240"/>
        <w:rPr/>
      </w:pPr>
      <w:r>
        <w:rPr/>
        <w:br/>
        <w:t>Fitzgerald before marrying Zelda and publishing his first novel This side of Paradise, he had a brief career at Barron Collier advertising agency New York. So he would have known, something about billboards, such as importance of size and location. The artwork and copy being seen by a moving vehicle. Also a little deeper than that, its impact on the transformation of the surrounding environmental scenes, affecting peoples lives in some way. The bespectacled eyes of Doctor Eckleburg in the book, interestingly the billboard had  become redundant and seemed to serve no further purpose.</w:t>
        <w:br/>
        <w:br/>
        <w:t>I think the title of the painting was the trigger that  Fitzgerald needed, enabling him to think between the celestial eyes and his previous experience of working in an advertising company. Charles Scribner (his publisher)  says, “it became the most celebrated jacket art and widely disseminated jacket art in 20th-century American literature.”</w:t>
      </w:r>
    </w:p>
    <w:p>
      <w:pPr>
        <w:pStyle w:val="Normal"/>
        <w:jc w:val="center"/>
        <w:rPr>
          <w:color w:val="0000FF"/>
        </w:rPr>
      </w:pPr>
      <w:r>
        <w:rPr>
          <w:color w:val="0000FF"/>
        </w:rPr>
        <w:drawing>
          <wp:inline distT="0" distB="0" distL="0" distR="0">
            <wp:extent cx="5419725" cy="3810000"/>
            <wp:effectExtent l="0" t="0" r="0" b="0"/>
            <wp:docPr id="20"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descr="" title=""/>
                    <pic:cNvPicPr>
                      <a:picLocks noChangeAspect="1" noChangeArrowheads="1"/>
                    </pic:cNvPicPr>
                  </pic:nvPicPr>
                  <pic:blipFill>
                    <a:blip r:embed="rId15"/>
                    <a:srcRect l="-8" t="-12" r="-8" b="-12"/>
                    <a:stretch>
                      <a:fillRect/>
                    </a:stretch>
                  </pic:blipFill>
                  <pic:spPr bwMode="auto">
                    <a:xfrm>
                      <a:off x="0" y="0"/>
                      <a:ext cx="5419725" cy="3810000"/>
                    </a:xfrm>
                    <a:prstGeom prst="rect">
                      <a:avLst/>
                    </a:prstGeom>
                  </pic:spPr>
                </pic:pic>
              </a:graphicData>
            </a:graphic>
          </wp:inline>
        </w:drawing>
      </w:r>
    </w:p>
    <w:p>
      <w:pPr>
        <w:pStyle w:val="Normal"/>
        <w:spacing w:before="0" w:after="240"/>
        <w:rPr/>
      </w:pPr>
      <w:r>
        <w:rPr/>
        <w:br/>
        <w:t>In 1915, Francis Cugat was commissioned to paint portraits of the stars at the Chicago’s Auditorium Theater. Moving to Hollywood in 1925 worked as a set designer with Douglas Fairbanks, it was through his works in the film industry that his works became known to the publisher Charles Scribner. Later in 1942 Cugat had a solo exhibition of his paintings in NewYork. Apart from the celebrated Gatsby cover; Cugat was a Technicolor consultant and was credited for technical work on sixty-eight Hollywood films.</w:t>
      </w:r>
    </w:p>
    <w:p>
      <w:pPr>
        <w:pStyle w:val="Normal"/>
        <w:jc w:val="center"/>
        <w:rPr/>
      </w:pPr>
      <w:r>
        <w:rPr>
          <w:color w:val="0000FF"/>
        </w:rPr>
        <w:drawing>
          <wp:inline distT="0" distB="0" distL="0" distR="0">
            <wp:extent cx="2562225" cy="3952875"/>
            <wp:effectExtent l="0" t="0" r="0" b="0"/>
            <wp:docPr id="21"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 title=""/>
                    <pic:cNvPicPr>
                      <a:picLocks noChangeAspect="1" noChangeArrowheads="1"/>
                    </pic:cNvPicPr>
                  </pic:nvPicPr>
                  <pic:blipFill>
                    <a:blip r:embed="rId16"/>
                    <a:srcRect l="-18" t="-12" r="-18" b="-12"/>
                    <a:stretch>
                      <a:fillRect/>
                    </a:stretch>
                  </pic:blipFill>
                  <pic:spPr bwMode="auto">
                    <a:xfrm>
                      <a:off x="0" y="0"/>
                      <a:ext cx="2562225" cy="3952875"/>
                    </a:xfrm>
                    <a:prstGeom prst="rect">
                      <a:avLst/>
                    </a:prstGeom>
                  </pic:spPr>
                </pic:pic>
              </a:graphicData>
            </a:graphic>
          </wp:inline>
        </w:drawing>
      </w:r>
      <w:r>
        <w:rPr>
          <w:color w:val="0000FF"/>
        </w:rPr>
        <w:drawing>
          <wp:inline distT="0" distB="0" distL="0" distR="0">
            <wp:extent cx="2466975" cy="3952875"/>
            <wp:effectExtent l="0" t="0" r="0" b="0"/>
            <wp:docPr id="22"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 title=""/>
                    <pic:cNvPicPr>
                      <a:picLocks noChangeAspect="1" noChangeArrowheads="1"/>
                    </pic:cNvPicPr>
                  </pic:nvPicPr>
                  <pic:blipFill>
                    <a:blip r:embed="rId17"/>
                    <a:srcRect l="-19" t="-12" r="-19" b="-12"/>
                    <a:stretch>
                      <a:fillRect/>
                    </a:stretch>
                  </pic:blipFill>
                  <pic:spPr bwMode="auto">
                    <a:xfrm>
                      <a:off x="0" y="0"/>
                      <a:ext cx="2466975" cy="3952875"/>
                    </a:xfrm>
                    <a:prstGeom prst="rect">
                      <a:avLst/>
                    </a:prstGeom>
                  </pic:spPr>
                </pic:pic>
              </a:graphicData>
            </a:graphic>
          </wp:inline>
        </w:drawing>
      </w:r>
    </w:p>
    <w:p>
      <w:pPr>
        <w:pStyle w:val="Normal"/>
        <w:jc w:val="center"/>
        <w:rPr/>
      </w:pPr>
      <w:r>
        <w:rPr>
          <w:color w:val="0000FF"/>
        </w:rPr>
        <w:drawing>
          <wp:inline distT="0" distB="0" distL="0" distR="0">
            <wp:extent cx="2571750" cy="4000500"/>
            <wp:effectExtent l="0" t="0" r="0" b="0"/>
            <wp:docPr id="23"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 title=""/>
                    <pic:cNvPicPr>
                      <a:picLocks noChangeAspect="1" noChangeArrowheads="1"/>
                    </pic:cNvPicPr>
                  </pic:nvPicPr>
                  <pic:blipFill>
                    <a:blip r:embed="rId18"/>
                    <a:srcRect l="-18" t="-12" r="-18" b="-12"/>
                    <a:stretch>
                      <a:fillRect/>
                    </a:stretch>
                  </pic:blipFill>
                  <pic:spPr bwMode="auto">
                    <a:xfrm>
                      <a:off x="0" y="0"/>
                      <a:ext cx="2571750" cy="4000500"/>
                    </a:xfrm>
                    <a:prstGeom prst="rect">
                      <a:avLst/>
                    </a:prstGeom>
                  </pic:spPr>
                </pic:pic>
              </a:graphicData>
            </a:graphic>
          </wp:inline>
        </w:drawing>
      </w:r>
      <w:r>
        <w:rPr>
          <w:color w:val="0000FF"/>
        </w:rPr>
        <w:drawing>
          <wp:inline distT="0" distB="0" distL="0" distR="0">
            <wp:extent cx="2543175" cy="3990975"/>
            <wp:effectExtent l="0" t="0" r="0" b="0"/>
            <wp:docPr id="24"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descr="" title=""/>
                    <pic:cNvPicPr>
                      <a:picLocks noChangeAspect="1" noChangeArrowheads="1"/>
                    </pic:cNvPicPr>
                  </pic:nvPicPr>
                  <pic:blipFill>
                    <a:blip r:embed="rId19"/>
                    <a:srcRect l="-19" t="-12" r="-19" b="-12"/>
                    <a:stretch>
                      <a:fillRect/>
                    </a:stretch>
                  </pic:blipFill>
                  <pic:spPr bwMode="auto">
                    <a:xfrm>
                      <a:off x="0" y="0"/>
                      <a:ext cx="2543175" cy="3990975"/>
                    </a:xfrm>
                    <a:prstGeom prst="rect">
                      <a:avLst/>
                    </a:prstGeom>
                  </pic:spPr>
                </pic:pic>
              </a:graphicData>
            </a:graphic>
          </wp:inline>
        </w:drawing>
      </w:r>
    </w:p>
    <w:p>
      <w:pPr>
        <w:pStyle w:val="Normal"/>
        <w:jc w:val="center"/>
        <w:rPr/>
      </w:pPr>
      <w:r>
        <w:rPr>
          <w:color w:val="0000FF"/>
        </w:rPr>
        <w:drawing>
          <wp:inline distT="0" distB="0" distL="0" distR="0">
            <wp:extent cx="3365500" cy="5232400"/>
            <wp:effectExtent l="0" t="0" r="0" b="0"/>
            <wp:docPr id="25"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title=""/>
                    <pic:cNvPicPr>
                      <a:picLocks noChangeAspect="1" noChangeArrowheads="1"/>
                    </pic:cNvPicPr>
                  </pic:nvPicPr>
                  <pic:blipFill>
                    <a:blip r:embed="rId20"/>
                    <a:srcRect l="-19" t="-12" r="-19" b="-12"/>
                    <a:stretch>
                      <a:fillRect/>
                    </a:stretch>
                  </pic:blipFill>
                  <pic:spPr bwMode="auto">
                    <a:xfrm>
                      <a:off x="0" y="0"/>
                      <a:ext cx="3365500" cy="5232400"/>
                    </a:xfrm>
                    <a:prstGeom prst="rect">
                      <a:avLst/>
                    </a:prstGeom>
                  </pic:spPr>
                </pic:pic>
              </a:graphicData>
            </a:graphic>
          </wp:inline>
        </w:drawing>
      </w:r>
      <w:r>
        <w:rPr>
          <w:color w:val="0000FF"/>
        </w:rPr>
        <w:drawing>
          <wp:inline distT="0" distB="0" distL="0" distR="0">
            <wp:extent cx="2533650" cy="3933825"/>
            <wp:effectExtent l="0" t="0" r="0" b="0"/>
            <wp:docPr id="26"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title=""/>
                    <pic:cNvPicPr>
                      <a:picLocks noChangeAspect="1" noChangeArrowheads="1"/>
                    </pic:cNvPicPr>
                  </pic:nvPicPr>
                  <pic:blipFill>
                    <a:blip r:embed="rId21"/>
                    <a:srcRect l="-19" t="-12" r="-19" b="-12"/>
                    <a:stretch>
                      <a:fillRect/>
                    </a:stretch>
                  </pic:blipFill>
                  <pic:spPr bwMode="auto">
                    <a:xfrm>
                      <a:off x="0" y="0"/>
                      <a:ext cx="2533650" cy="3933825"/>
                    </a:xfrm>
                    <a:prstGeom prst="rect">
                      <a:avLst/>
                    </a:prstGeom>
                  </pic:spPr>
                </pic:pic>
              </a:graphicData>
            </a:graphic>
          </wp:inline>
        </w:drawing>
      </w:r>
    </w:p>
    <w:p>
      <w:pPr>
        <w:pStyle w:val="Normal"/>
        <w:jc w:val="center"/>
        <w:rPr/>
      </w:pPr>
      <w:r>
        <w:rPr/>
        <w:t> </w:t>
      </w:r>
      <w:r>
        <w:rPr>
          <w:rStyle w:val="Applestylespan"/>
          <w:rFonts w:cs="Verdana" w:ascii="Verdana" w:hAnsi="Verdana"/>
          <w:color w:val="666666"/>
          <w:sz w:val="20"/>
          <w:szCs w:val="20"/>
        </w:rPr>
        <w:t>Murtore, Raisa and Rimini Theatre Cards - 1915–1917</w:t>
      </w:r>
    </w:p>
    <w:p>
      <w:pPr>
        <w:pStyle w:val="Normal"/>
        <w:jc w:val="center"/>
        <w:rPr>
          <w:color w:val="0000FF"/>
        </w:rPr>
      </w:pPr>
      <w:r>
        <w:rPr>
          <w:color w:val="0000FF"/>
        </w:rPr>
        <w:drawing>
          <wp:inline distT="0" distB="0" distL="0" distR="0">
            <wp:extent cx="3733800" cy="4810125"/>
            <wp:effectExtent l="0" t="0" r="0" b="0"/>
            <wp:docPr id="27"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descr="" title=""/>
                    <pic:cNvPicPr>
                      <a:picLocks noChangeAspect="1" noChangeArrowheads="1"/>
                    </pic:cNvPicPr>
                  </pic:nvPicPr>
                  <pic:blipFill>
                    <a:blip r:embed="rId22"/>
                    <a:srcRect l="-12" t="-10" r="-12" b="-10"/>
                    <a:stretch>
                      <a:fillRect/>
                    </a:stretch>
                  </pic:blipFill>
                  <pic:spPr bwMode="auto">
                    <a:xfrm>
                      <a:off x="0" y="0"/>
                      <a:ext cx="3733800" cy="4810125"/>
                    </a:xfrm>
                    <a:prstGeom prst="rect">
                      <a:avLst/>
                    </a:prstGeom>
                  </pic:spPr>
                </pic:pic>
              </a:graphicData>
            </a:graphic>
          </wp:inline>
        </w:drawing>
      </w:r>
    </w:p>
    <w:p>
      <w:pPr>
        <w:pStyle w:val="Normal"/>
        <w:jc w:val="center"/>
        <w:rPr/>
      </w:pPr>
      <w:r>
        <w:rPr>
          <w:rStyle w:val="Applestylespan"/>
          <w:rFonts w:cs="Verdana" w:ascii="Verdana" w:hAnsi="Verdana"/>
          <w:color w:val="666666"/>
          <w:sz w:val="20"/>
          <w:szCs w:val="20"/>
        </w:rPr>
        <w:t>George Gershwin (An American in Paris) - c. 1928, Etching.</w:t>
      </w:r>
    </w:p>
    <w:p>
      <w:pPr>
        <w:pStyle w:val="Normal"/>
        <w:jc w:val="center"/>
        <w:rPr>
          <w:color w:val="0000FF"/>
        </w:rPr>
      </w:pPr>
      <w:r>
        <w:rPr>
          <w:color w:val="0000FF"/>
        </w:rPr>
        <w:drawing>
          <wp:inline distT="0" distB="0" distL="0" distR="0">
            <wp:extent cx="5419725" cy="7629525"/>
            <wp:effectExtent l="0" t="0" r="0" b="0"/>
            <wp:docPr id="28"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title=""/>
                    <pic:cNvPicPr>
                      <a:picLocks noChangeAspect="1" noChangeArrowheads="1"/>
                    </pic:cNvPicPr>
                  </pic:nvPicPr>
                  <pic:blipFill>
                    <a:blip r:embed="rId23"/>
                    <a:srcRect l="-8" t="-6" r="-8" b="-6"/>
                    <a:stretch>
                      <a:fillRect/>
                    </a:stretch>
                  </pic:blipFill>
                  <pic:spPr bwMode="auto">
                    <a:xfrm>
                      <a:off x="0" y="0"/>
                      <a:ext cx="5419725" cy="7629525"/>
                    </a:xfrm>
                    <a:prstGeom prst="rect">
                      <a:avLst/>
                    </a:prstGeom>
                  </pic:spPr>
                </pic:pic>
              </a:graphicData>
            </a:graphic>
          </wp:inline>
        </w:drawing>
      </w:r>
    </w:p>
    <w:p>
      <w:pPr>
        <w:pStyle w:val="Normal"/>
        <w:jc w:val="center"/>
        <w:rPr/>
      </w:pPr>
      <w:r>
        <w:rPr>
          <w:rStyle w:val="Applestylespan"/>
          <w:rFonts w:cs="Verdana" w:ascii="Verdana" w:hAnsi="Verdana"/>
          <w:color w:val="666666"/>
          <w:sz w:val="20"/>
          <w:szCs w:val="20"/>
        </w:rPr>
        <w:t>Celestial Eyes - A painting for the cover of The Great Gatsby, by F. Scott Fitzgerald.</w:t>
      </w:r>
    </w:p>
    <w:p>
      <w:pPr>
        <w:pStyle w:val="Normal"/>
        <w:jc w:val="center"/>
        <w:rPr>
          <w:color w:val="0000FF"/>
        </w:rPr>
      </w:pPr>
      <w:r>
        <w:rPr>
          <w:color w:val="0000FF"/>
        </w:rPr>
        <w:drawing>
          <wp:inline distT="0" distB="0" distL="0" distR="0">
            <wp:extent cx="4981575" cy="5467350"/>
            <wp:effectExtent l="0" t="0" r="0" b="0"/>
            <wp:docPr id="29"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2" descr="" title=""/>
                    <pic:cNvPicPr>
                      <a:picLocks noChangeAspect="1" noChangeArrowheads="1"/>
                    </pic:cNvPicPr>
                  </pic:nvPicPr>
                  <pic:blipFill>
                    <a:blip r:embed="rId24"/>
                    <a:srcRect l="-9" t="-8" r="-9" b="-8"/>
                    <a:stretch>
                      <a:fillRect/>
                    </a:stretch>
                  </pic:blipFill>
                  <pic:spPr bwMode="auto">
                    <a:xfrm>
                      <a:off x="0" y="0"/>
                      <a:ext cx="4981575" cy="5467350"/>
                    </a:xfrm>
                    <a:prstGeom prst="rect">
                      <a:avLst/>
                    </a:prstGeom>
                  </pic:spPr>
                </pic:pic>
              </a:graphicData>
            </a:graphic>
          </wp:inline>
        </w:drawing>
      </w:r>
    </w:p>
    <w:p>
      <w:pPr>
        <w:pStyle w:val="Normal"/>
        <w:jc w:val="center"/>
        <w:rPr>
          <w:color w:val="0000FF"/>
        </w:rPr>
      </w:pPr>
      <w:r>
        <w:rPr>
          <w:color w:val="0000FF"/>
        </w:rPr>
        <w:drawing>
          <wp:inline distT="0" distB="0" distL="0" distR="0">
            <wp:extent cx="5419725" cy="4143375"/>
            <wp:effectExtent l="0" t="0" r="0" b="0"/>
            <wp:docPr id="30"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 descr="" title=""/>
                    <pic:cNvPicPr>
                      <a:picLocks noChangeAspect="1" noChangeArrowheads="1"/>
                    </pic:cNvPicPr>
                  </pic:nvPicPr>
                  <pic:blipFill>
                    <a:blip r:embed="rId25"/>
                    <a:srcRect l="-8" t="-11" r="-8" b="-11"/>
                    <a:stretch>
                      <a:fillRect/>
                    </a:stretch>
                  </pic:blipFill>
                  <pic:spPr bwMode="auto">
                    <a:xfrm>
                      <a:off x="0" y="0"/>
                      <a:ext cx="5419725" cy="4143375"/>
                    </a:xfrm>
                    <a:prstGeom prst="rect">
                      <a:avLst/>
                    </a:prstGeom>
                  </pic:spPr>
                </pic:pic>
              </a:graphicData>
            </a:graphic>
          </wp:inline>
        </w:drawing>
      </w:r>
    </w:p>
    <w:p>
      <w:pPr>
        <w:pStyle w:val="Normal"/>
        <w:jc w:val="center"/>
        <w:rPr/>
      </w:pPr>
      <w:r>
        <w:rPr>
          <w:rStyle w:val="Applestylespan"/>
          <w:rFonts w:cs="Verdana" w:ascii="Verdana" w:hAnsi="Verdana"/>
          <w:color w:val="666666"/>
          <w:sz w:val="20"/>
          <w:szCs w:val="20"/>
        </w:rPr>
        <w:t>Technicolor Color Consultant for the 1955 movie Three for the Show</w:t>
      </w:r>
    </w:p>
    <w:p>
      <w:pPr>
        <w:pStyle w:val="Normal"/>
        <w:jc w:val="center"/>
        <w:rPr>
          <w:color w:val="0000FF"/>
        </w:rPr>
      </w:pPr>
      <w:r>
        <w:rPr>
          <w:color w:val="0000FF"/>
        </w:rPr>
        <w:drawing>
          <wp:inline distT="0" distB="0" distL="0" distR="0">
            <wp:extent cx="5419725" cy="3933825"/>
            <wp:effectExtent l="0" t="0" r="0" b="0"/>
            <wp:docPr id="31"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4" descr="" title=""/>
                    <pic:cNvPicPr>
                      <a:picLocks noChangeAspect="1" noChangeArrowheads="1"/>
                    </pic:cNvPicPr>
                  </pic:nvPicPr>
                  <pic:blipFill>
                    <a:blip r:embed="rId26"/>
                    <a:srcRect l="-8" t="-12" r="-8" b="-12"/>
                    <a:stretch>
                      <a:fillRect/>
                    </a:stretch>
                  </pic:blipFill>
                  <pic:spPr bwMode="auto">
                    <a:xfrm>
                      <a:off x="0" y="0"/>
                      <a:ext cx="5419725" cy="3933825"/>
                    </a:xfrm>
                    <a:prstGeom prst="rect">
                      <a:avLst/>
                    </a:prstGeom>
                  </pic:spPr>
                </pic:pic>
              </a:graphicData>
            </a:graphic>
          </wp:inline>
        </w:drawing>
      </w:r>
    </w:p>
    <w:p>
      <w:pPr>
        <w:pStyle w:val="Normal"/>
        <w:jc w:val="center"/>
        <w:rPr>
          <w:color w:val="0000FF"/>
        </w:rPr>
      </w:pPr>
      <w:r>
        <w:rPr>
          <w:color w:val="0000FF"/>
        </w:rPr>
        <w:drawing>
          <wp:inline distT="0" distB="0" distL="0" distR="0">
            <wp:extent cx="5419725" cy="3933825"/>
            <wp:effectExtent l="0" t="0" r="0" b="0"/>
            <wp:docPr id="32"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 descr="" title=""/>
                    <pic:cNvPicPr>
                      <a:picLocks noChangeAspect="1" noChangeArrowheads="1"/>
                    </pic:cNvPicPr>
                  </pic:nvPicPr>
                  <pic:blipFill>
                    <a:blip r:embed="rId27"/>
                    <a:srcRect l="-8" t="-12" r="-8" b="-12"/>
                    <a:stretch>
                      <a:fillRect/>
                    </a:stretch>
                  </pic:blipFill>
                  <pic:spPr bwMode="auto">
                    <a:xfrm>
                      <a:off x="0" y="0"/>
                      <a:ext cx="5419725" cy="3933825"/>
                    </a:xfrm>
                    <a:prstGeom prst="rect">
                      <a:avLst/>
                    </a:prstGeom>
                  </pic:spPr>
                </pic:pic>
              </a:graphicData>
            </a:graphic>
          </wp:inline>
        </w:drawing>
      </w:r>
    </w:p>
    <w:p>
      <w:pPr>
        <w:pStyle w:val="Normal"/>
        <w:jc w:val="center"/>
        <w:rPr/>
      </w:pPr>
      <w:r>
        <w:rPr>
          <w:rStyle w:val="Applestylespan"/>
          <w:rFonts w:cs="Verdana" w:ascii="Verdana" w:hAnsi="Verdana"/>
          <w:color w:val="666666"/>
          <w:sz w:val="20"/>
          <w:szCs w:val="20"/>
        </w:rPr>
        <w:t>Technicolor Color Consultant for the John Ford/John Wayne film The Quiet Man</w:t>
      </w:r>
    </w:p>
    <w:p>
      <w:pPr>
        <w:pStyle w:val="Normal"/>
        <w:jc w:val="center"/>
        <w:rPr>
          <w:color w:val="0000FF"/>
        </w:rPr>
      </w:pPr>
      <w:r>
        <w:rPr>
          <w:color w:val="0000FF"/>
        </w:rPr>
        <w:drawing>
          <wp:inline distT="0" distB="0" distL="0" distR="0">
            <wp:extent cx="5419090" cy="5495290"/>
            <wp:effectExtent l="0" t="0" r="0" b="0"/>
            <wp:docPr id="33"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6" descr="" title=""/>
                    <pic:cNvPicPr>
                      <a:picLocks noChangeAspect="1" noChangeArrowheads="1"/>
                    </pic:cNvPicPr>
                  </pic:nvPicPr>
                  <pic:blipFill>
                    <a:blip r:embed="rId28"/>
                    <a:srcRect l="-4" t="-4" r="-4" b="-4"/>
                    <a:stretch>
                      <a:fillRect/>
                    </a:stretch>
                  </pic:blipFill>
                  <pic:spPr bwMode="auto">
                    <a:xfrm>
                      <a:off x="0" y="0"/>
                      <a:ext cx="5419090" cy="5495290"/>
                    </a:xfrm>
                    <a:prstGeom prst="rect">
                      <a:avLst/>
                    </a:prstGeom>
                  </pic:spPr>
                </pic:pic>
              </a:graphicData>
            </a:graphic>
          </wp:inline>
        </w:drawing>
      </w:r>
    </w:p>
    <w:p>
      <w:pPr>
        <w:pStyle w:val="Normal"/>
        <w:jc w:val="center"/>
        <w:rPr/>
      </w:pPr>
      <w:r>
        <w:rPr>
          <w:rStyle w:val="Applestylespan"/>
          <w:rFonts w:cs="Verdana" w:ascii="Verdana" w:hAnsi="Verdana"/>
          <w:color w:val="666666"/>
          <w:sz w:val="20"/>
          <w:szCs w:val="20"/>
        </w:rPr>
        <w:t>French Quarter, New Orleans landscape painting</w:t>
      </w:r>
    </w:p>
    <w:p>
      <w:pPr>
        <w:pStyle w:val="Normal"/>
        <w:jc w:val="center"/>
        <w:rPr>
          <w:color w:val="0000FF"/>
        </w:rPr>
      </w:pPr>
      <w:r>
        <w:rPr>
          <w:color w:val="0000FF"/>
        </w:rPr>
        <w:drawing>
          <wp:inline distT="0" distB="0" distL="0" distR="0">
            <wp:extent cx="5419090" cy="4457065"/>
            <wp:effectExtent l="0" t="0" r="0" b="0"/>
            <wp:docPr id="34"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 descr="" title=""/>
                    <pic:cNvPicPr>
                      <a:picLocks noChangeAspect="1" noChangeArrowheads="1"/>
                    </pic:cNvPicPr>
                  </pic:nvPicPr>
                  <pic:blipFill>
                    <a:blip r:embed="rId29"/>
                    <a:srcRect l="-4" t="-6" r="-4" b="-6"/>
                    <a:stretch>
                      <a:fillRect/>
                    </a:stretch>
                  </pic:blipFill>
                  <pic:spPr bwMode="auto">
                    <a:xfrm>
                      <a:off x="0" y="0"/>
                      <a:ext cx="5419090" cy="4457065"/>
                    </a:xfrm>
                    <a:prstGeom prst="rect">
                      <a:avLst/>
                    </a:prstGeom>
                  </pic:spPr>
                </pic:pic>
              </a:graphicData>
            </a:graphic>
          </wp:inline>
        </w:drawing>
      </w:r>
    </w:p>
    <w:p>
      <w:pPr>
        <w:pStyle w:val="Normal"/>
        <w:jc w:val="center"/>
        <w:rPr/>
      </w:pPr>
      <w:r>
        <w:rPr>
          <w:rStyle w:val="Applestylespan"/>
          <w:rFonts w:cs="Verdana" w:ascii="Verdana" w:hAnsi="Verdana"/>
          <w:color w:val="666666"/>
          <w:sz w:val="20"/>
          <w:szCs w:val="20"/>
        </w:rPr>
        <w:t>Bridgetoan Harbor, Barbados landscape painting</w:t>
      </w:r>
    </w:p>
    <w:p>
      <w:pPr>
        <w:pStyle w:val="Normal"/>
        <w:rPr/>
      </w:pPr>
      <w:r>
        <w:rPr/>
      </w:r>
    </w:p>
    <w:sectPr>
      <w:type w:val="nextPage"/>
      <w:pgSz w:w="12240" w:h="15840"/>
      <w:pgMar w:left="576" w:right="576" w:header="0" w:top="576" w:footer="0" w:bottom="576" w:gutter="0"/>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System VT Special">
    <w:altName w:val="Times New Roman"/>
    <w:charset w:val="00" w:characterSet="windows-1252"/>
    <w:family w:val="roman"/>
    <w:pitch w:val="default"/>
  </w:font>
  <w:font w:name="Verdana">
    <w:charset w:val="00" w:characterSet="windows-1252"/>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start"/>
      <w:pPr>
        <w:ind w:start="0" w:hanging="0"/>
      </w:pPr>
    </w:lvl>
    <w:lvl w:ilvl="1">
      <w:start w:val="1"/>
      <w:numFmt w:val="none"/>
      <w:suff w:val="nothing"/>
      <w:lvlText w:val=""/>
      <w:lvlJc w:val="start"/>
      <w:pPr>
        <w:ind w:start="0" w:hanging="0"/>
      </w:pPr>
    </w:lvl>
    <w:lvl w:ilvl="2">
      <w:start w:val="1"/>
      <w:pStyle w:val="Heading3"/>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abstractNum w:abstractNumId="2">
    <w:lvl w:ilvl="0">
      <w:start w:val="1"/>
      <w:numFmt w:val="decimal"/>
      <w:lvlText w:val="%1."/>
      <w:lvlJc w:val="start"/>
      <w:pPr>
        <w:tabs>
          <w:tab w:val="num" w:pos="720"/>
        </w:tabs>
        <w:ind w:start="720" w:hanging="360"/>
      </w:pPr>
      <w:rPr/>
    </w:lvl>
    <w:lvl w:ilvl="1">
      <w:start w:val="1"/>
      <w:numFmt w:val="decimal"/>
      <w:lvlText w:val="%2."/>
      <w:lvlJc w:val="start"/>
      <w:pPr>
        <w:tabs>
          <w:tab w:val="num" w:pos="1440"/>
        </w:tabs>
        <w:ind w:start="1440" w:hanging="360"/>
      </w:pPr>
      <w:rPr/>
    </w:lvl>
    <w:lvl w:ilvl="2">
      <w:start w:val="1"/>
      <w:numFmt w:val="decimal"/>
      <w:lvlText w:val="%3."/>
      <w:lvlJc w:val="start"/>
      <w:pPr>
        <w:tabs>
          <w:tab w:val="num" w:pos="2160"/>
        </w:tabs>
        <w:ind w:start="2160" w:hanging="360"/>
      </w:pPr>
      <w:rPr/>
    </w:lvl>
    <w:lvl w:ilvl="3">
      <w:start w:val="1"/>
      <w:numFmt w:val="decimal"/>
      <w:lvlText w:val="%4."/>
      <w:lvlJc w:val="start"/>
      <w:pPr>
        <w:tabs>
          <w:tab w:val="num" w:pos="2880"/>
        </w:tabs>
        <w:ind w:start="2880" w:hanging="360"/>
      </w:pPr>
      <w:rPr/>
    </w:lvl>
    <w:lvl w:ilvl="4">
      <w:start w:val="1"/>
      <w:numFmt w:val="decimal"/>
      <w:lvlText w:val="%5."/>
      <w:lvlJc w:val="start"/>
      <w:pPr>
        <w:tabs>
          <w:tab w:val="num" w:pos="3600"/>
        </w:tabs>
        <w:ind w:start="3600" w:hanging="360"/>
      </w:pPr>
      <w:rPr/>
    </w:lvl>
    <w:lvl w:ilvl="5">
      <w:start w:val="1"/>
      <w:numFmt w:val="decimal"/>
      <w:lvlText w:val="%6."/>
      <w:lvlJc w:val="start"/>
      <w:pPr>
        <w:tabs>
          <w:tab w:val="num" w:pos="4320"/>
        </w:tabs>
        <w:ind w:start="4320" w:hanging="360"/>
      </w:pPr>
      <w:rPr/>
    </w:lvl>
    <w:lvl w:ilvl="6">
      <w:start w:val="1"/>
      <w:numFmt w:val="decimal"/>
      <w:lvlText w:val="%7."/>
      <w:lvlJc w:val="start"/>
      <w:pPr>
        <w:tabs>
          <w:tab w:val="num" w:pos="5040"/>
        </w:tabs>
        <w:ind w:start="5040" w:hanging="360"/>
      </w:pPr>
      <w:rPr/>
    </w:lvl>
    <w:lvl w:ilvl="7">
      <w:start w:val="1"/>
      <w:numFmt w:val="decimal"/>
      <w:lvlText w:val="%8."/>
      <w:lvlJc w:val="start"/>
      <w:pPr>
        <w:tabs>
          <w:tab w:val="num" w:pos="5760"/>
        </w:tabs>
        <w:ind w:start="5760" w:hanging="360"/>
      </w:pPr>
      <w:rPr/>
    </w:lvl>
    <w:lvl w:ilvl="8">
      <w:start w:val="1"/>
      <w:numFmt w:val="decimal"/>
      <w:lvlText w:val="%9."/>
      <w:lvlJc w:val="start"/>
      <w:pPr>
        <w:tabs>
          <w:tab w:val="num" w:pos="6480"/>
        </w:tabs>
        <w:ind w:start="6480" w:hanging="360"/>
      </w:pPr>
      <w:rPr/>
    </w:lvl>
  </w:abstractNum>
  <w:num w:numId="1">
    <w:abstractNumId w:val="1"/>
  </w:num>
  <w:num w:numId="2">
    <w:abstractNumId w:val="2"/>
  </w:num>
</w:numbering>
</file>

<file path=word/settings.xml><?xml version="1.0" encoding="utf-8"?>
<w:settings xmlns:w="http://schemas.openxmlformats.org/wordprocessingml/2006/main">
  <w:zoom w:percent="2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SimSun;宋体" w:cs="Times New Roman"/>
      <w:color w:val="auto"/>
      <w:sz w:val="24"/>
      <w:szCs w:val="24"/>
      <w:lang w:val="en-US" w:eastAsia="zh-CN" w:bidi="ar-SA"/>
    </w:rPr>
  </w:style>
  <w:style w:type="paragraph" w:styleId="Heading3">
    <w:name w:val="Heading 3"/>
    <w:basedOn w:val="Normal"/>
    <w:next w:val="Normal"/>
    <w:qFormat/>
    <w:pPr>
      <w:keepNext w:val="true"/>
      <w:numPr>
        <w:ilvl w:val="2"/>
        <w:numId w:val="1"/>
      </w:numPr>
      <w:spacing w:before="240" w:after="60"/>
      <w:outlineLvl w:val="2"/>
    </w:pPr>
    <w:rPr>
      <w:rFonts w:ascii="Arial" w:hAnsi="Arial" w:cs="Arial"/>
      <w:b/>
      <w:bCs/>
      <w:sz w:val="26"/>
      <w:szCs w:val="26"/>
    </w:rPr>
  </w:style>
  <w:style w:type="paragraph" w:styleId="Heading4">
    <w:name w:val="Heading 4"/>
    <w:basedOn w:val="Normal"/>
    <w:next w:val="TextBody"/>
    <w:qFormat/>
    <w:pPr>
      <w:numPr>
        <w:ilvl w:val="3"/>
        <w:numId w:val="1"/>
      </w:numPr>
      <w:spacing w:before="280" w:after="280"/>
      <w:outlineLvl w:val="3"/>
    </w:pPr>
    <w:rPr>
      <w:b/>
      <w:bCs/>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DefaultParagraphFont">
    <w:name w:val="Default Paragraph Font"/>
    <w:qFormat/>
    <w:rPr/>
  </w:style>
  <w:style w:type="character" w:styleId="InternetLink">
    <w:name w:val="Internet Link"/>
    <w:basedOn w:val="DefaultParagraphFont"/>
    <w:rPr>
      <w:color w:val="0000FF"/>
      <w:u w:val="single"/>
    </w:rPr>
  </w:style>
  <w:style w:type="character" w:styleId="Applestylespan">
    <w:name w:val="apple-style-span"/>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hyperlink" Target="http://www.sc.edu/fitzgerald/essays/eyes/eyes.html" TargetMode="External"/><Relationship Id="rId14" Type="http://schemas.openxmlformats.org/officeDocument/2006/relationships/image" Target="media/image12.jpeg"/><Relationship Id="rId15" Type="http://schemas.openxmlformats.org/officeDocument/2006/relationships/image" Target="media/image13.jpeg"/><Relationship Id="rId16" Type="http://schemas.openxmlformats.org/officeDocument/2006/relationships/image" Target="media/image14.jpeg"/><Relationship Id="rId17" Type="http://schemas.openxmlformats.org/officeDocument/2006/relationships/image" Target="media/image15.jpeg"/><Relationship Id="rId18" Type="http://schemas.openxmlformats.org/officeDocument/2006/relationships/image" Target="media/image16.jpeg"/><Relationship Id="rId19" Type="http://schemas.openxmlformats.org/officeDocument/2006/relationships/image" Target="media/image17.jpeg"/><Relationship Id="rId20" Type="http://schemas.openxmlformats.org/officeDocument/2006/relationships/image" Target="media/image18.jpeg"/><Relationship Id="rId21" Type="http://schemas.openxmlformats.org/officeDocument/2006/relationships/image" Target="media/image19.jpeg"/><Relationship Id="rId22" Type="http://schemas.openxmlformats.org/officeDocument/2006/relationships/image" Target="media/image20.jpeg"/><Relationship Id="rId23" Type="http://schemas.openxmlformats.org/officeDocument/2006/relationships/image" Target="media/image21.jpeg"/><Relationship Id="rId24" Type="http://schemas.openxmlformats.org/officeDocument/2006/relationships/image" Target="media/image22.jpeg"/><Relationship Id="rId25" Type="http://schemas.openxmlformats.org/officeDocument/2006/relationships/image" Target="media/image23.jpeg"/><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5</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2013-11-26T15:16:00Z</dcterms:created>
  <dc:creator>USER</dc:creator>
  <dc:description/>
  <dc:language>en-US</dc:language>
  <cp:lastModifiedBy>USER</cp:lastModifiedBy>
  <dcterms:modified xsi:type="dcterms:W3CDTF">2013-11-26T15:21:00Z</dcterms:modified>
  <cp:revision>1</cp:revision>
  <dc:subject/>
  <dc:title>PAINTING-Cugat-List</dc:title>
</cp:coreProperties>
</file>